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C2864" w14:textId="394D0A1B" w:rsidR="00223900" w:rsidRDefault="00316E71" w:rsidP="008A667E">
      <w:pPr>
        <w:rPr>
          <w:b/>
        </w:rPr>
      </w:pPr>
      <w:r w:rsidRPr="58A81A01">
        <w:rPr>
          <w:b/>
          <w:bCs/>
        </w:rPr>
        <w:t>Public Health Specialty Training Programme</w:t>
      </w:r>
      <w:r w:rsidR="00755BA6" w:rsidRPr="58A81A01">
        <w:rPr>
          <w:b/>
          <w:bCs/>
        </w:rPr>
        <w:t xml:space="preserve"> Study Leave Policy</w:t>
      </w:r>
      <w:r w:rsidR="00554415" w:rsidRPr="58A81A01">
        <w:rPr>
          <w:b/>
          <w:bCs/>
        </w:rPr>
        <w:t>,</w:t>
      </w:r>
      <w:r w:rsidR="004A05B2" w:rsidRPr="58A81A01">
        <w:rPr>
          <w:b/>
          <w:bCs/>
        </w:rPr>
        <w:t xml:space="preserve"> </w:t>
      </w:r>
      <w:r w:rsidR="00C5608D" w:rsidRPr="58A81A01">
        <w:rPr>
          <w:b/>
          <w:bCs/>
        </w:rPr>
        <w:t>revised April 2019</w:t>
      </w:r>
    </w:p>
    <w:p w14:paraId="1E83DDC7" w14:textId="5E6774DC" w:rsidR="004C6965" w:rsidRDefault="00F2631B" w:rsidP="00502B85">
      <w:pPr>
        <w:spacing w:before="240"/>
      </w:pPr>
      <w:r>
        <w:t xml:space="preserve">This policy provides guidance to </w:t>
      </w:r>
      <w:r w:rsidR="00EC1CBA">
        <w:t xml:space="preserve">registrars in public health </w:t>
      </w:r>
      <w:r>
        <w:t xml:space="preserve">on </w:t>
      </w:r>
      <w:r w:rsidR="00EB7D2A">
        <w:t xml:space="preserve">required and optional </w:t>
      </w:r>
      <w:r>
        <w:t>study leave</w:t>
      </w:r>
      <w:r w:rsidR="00306163">
        <w:t xml:space="preserve">, </w:t>
      </w:r>
      <w:r w:rsidR="005C0296">
        <w:t>funding</w:t>
      </w:r>
      <w:r w:rsidR="00306163">
        <w:t xml:space="preserve"> and time</w:t>
      </w:r>
      <w:r w:rsidR="005C0296">
        <w:t xml:space="preserve"> allowances</w:t>
      </w:r>
      <w:r w:rsidR="00306163">
        <w:t>.</w:t>
      </w:r>
      <w:r w:rsidR="00C814AF">
        <w:t xml:space="preserve"> It applies specifically to public health registrars and has been written with reference to the </w:t>
      </w:r>
      <w:r w:rsidR="00151E76">
        <w:t xml:space="preserve">2018 </w:t>
      </w:r>
      <w:r w:rsidR="00D651F6">
        <w:t>HEE East Study Leave policy.</w:t>
      </w:r>
      <w:r w:rsidR="00D41DB6">
        <w:t xml:space="preserve"> </w:t>
      </w:r>
      <w:r>
        <w:t xml:space="preserve">Study leave is granted in accordance with </w:t>
      </w:r>
      <w:r w:rsidR="00306163">
        <w:t xml:space="preserve">both overall training programme requirements and individual </w:t>
      </w:r>
      <w:r>
        <w:t>educational objectives</w:t>
      </w:r>
      <w:r w:rsidR="00306163">
        <w:t>. Educational objectives are agreed</w:t>
      </w:r>
      <w:r>
        <w:t xml:space="preserve"> annually </w:t>
      </w:r>
      <w:r w:rsidR="00306163">
        <w:t>by the registrar and</w:t>
      </w:r>
      <w:r>
        <w:t xml:space="preserve"> educational supervisor and </w:t>
      </w:r>
      <w:r w:rsidR="00EC1CBA">
        <w:t xml:space="preserve">regularly </w:t>
      </w:r>
      <w:proofErr w:type="gramStart"/>
      <w:r w:rsidR="00EC1CBA">
        <w:t>reviewed</w:t>
      </w:r>
      <w:r w:rsidR="000048C3">
        <w:t>, and</w:t>
      </w:r>
      <w:proofErr w:type="gramEnd"/>
      <w:r w:rsidR="000048C3">
        <w:t xml:space="preserve"> </w:t>
      </w:r>
      <w:r>
        <w:t>relate to the</w:t>
      </w:r>
      <w:r w:rsidR="00EC1CBA">
        <w:t xml:space="preserve"> training curriculum and</w:t>
      </w:r>
      <w:r>
        <w:t xml:space="preserve"> phase of training. </w:t>
      </w:r>
    </w:p>
    <w:p w14:paraId="43DFDD01" w14:textId="41FBB2DC" w:rsidR="00502B85" w:rsidRPr="00306163" w:rsidRDefault="00502B85" w:rsidP="58A81A01">
      <w:pPr>
        <w:rPr>
          <w:b/>
          <w:bCs/>
        </w:rPr>
      </w:pPr>
      <w:r w:rsidRPr="58A81A01">
        <w:rPr>
          <w:b/>
          <w:bCs/>
        </w:rPr>
        <w:t>How to apply for study leave (and expenses)</w:t>
      </w:r>
    </w:p>
    <w:p w14:paraId="7E2E54AA" w14:textId="77777777" w:rsidR="005233CF" w:rsidRDefault="004E61C8" w:rsidP="004E61C8">
      <w:r w:rsidRPr="004E61C8">
        <w:t xml:space="preserve">All study </w:t>
      </w:r>
      <w:r>
        <w:t>leave</w:t>
      </w:r>
      <w:r w:rsidR="003917B0">
        <w:t xml:space="preserve"> </w:t>
      </w:r>
      <w:r w:rsidR="00502B85">
        <w:t>should</w:t>
      </w:r>
      <w:r w:rsidRPr="004E61C8">
        <w:t xml:space="preserve"> be formally applied for</w:t>
      </w:r>
      <w:r w:rsidR="00502B85" w:rsidRPr="00F424EC">
        <w:t xml:space="preserve"> at least </w:t>
      </w:r>
      <w:r w:rsidR="00502B85">
        <w:t>four</w:t>
      </w:r>
      <w:r w:rsidR="00502B85" w:rsidRPr="00F424EC">
        <w:t xml:space="preserve"> weeks in advance</w:t>
      </w:r>
      <w:r w:rsidR="005204DE">
        <w:t>, so that the employer can accurately record study leave taken</w:t>
      </w:r>
      <w:r w:rsidR="00502B85">
        <w:t>.</w:t>
      </w:r>
      <w:r w:rsidR="005204DE">
        <w:t xml:space="preserve"> The only exceptions to this are for the MPhil course and the group Part A </w:t>
      </w:r>
      <w:r w:rsidR="00781595">
        <w:t>revision study groups (</w:t>
      </w:r>
      <w:r w:rsidR="005204DE">
        <w:t>‘cohort learning’</w:t>
      </w:r>
      <w:r w:rsidR="00781595">
        <w:t xml:space="preserve">) </w:t>
      </w:r>
      <w:r w:rsidR="005204DE">
        <w:t>organised by the School of Public Health.</w:t>
      </w:r>
      <w:r w:rsidR="00502B85">
        <w:t xml:space="preserve"> Retrospective requests (</w:t>
      </w:r>
      <w:proofErr w:type="spellStart"/>
      <w:proofErr w:type="gramStart"/>
      <w:r w:rsidR="00502B85">
        <w:t>ie</w:t>
      </w:r>
      <w:proofErr w:type="spellEnd"/>
      <w:proofErr w:type="gramEnd"/>
      <w:r w:rsidR="00502B85">
        <w:t xml:space="preserve"> for leave already taken) will not be considered in any circumstances.</w:t>
      </w:r>
      <w:r w:rsidR="005204DE">
        <w:t xml:space="preserve"> </w:t>
      </w:r>
      <w:r w:rsidR="00B92F8C">
        <w:t>The steps for the registrar to follow are:</w:t>
      </w:r>
    </w:p>
    <w:p w14:paraId="5272EDC6" w14:textId="77777777" w:rsidR="00B92F8C" w:rsidRDefault="00B92F8C" w:rsidP="00B92F8C">
      <w:pPr>
        <w:pStyle w:val="ListParagraph"/>
        <w:numPr>
          <w:ilvl w:val="0"/>
          <w:numId w:val="5"/>
        </w:numPr>
      </w:pPr>
      <w:r>
        <w:t>D</w:t>
      </w:r>
      <w:r w:rsidR="000C0B4E">
        <w:t>iscuss and agree</w:t>
      </w:r>
      <w:r>
        <w:t xml:space="preserve"> each application for study leave </w:t>
      </w:r>
      <w:r w:rsidR="000C0B4E">
        <w:t>with the</w:t>
      </w:r>
      <w:r>
        <w:t>i</w:t>
      </w:r>
      <w:r w:rsidR="00AD07B5">
        <w:t>r</w:t>
      </w:r>
      <w:r w:rsidR="000C0B4E">
        <w:t xml:space="preserve"> clinical supervisor</w:t>
      </w:r>
    </w:p>
    <w:p w14:paraId="1E18B40D" w14:textId="164E0D15" w:rsidR="00B92F8C" w:rsidRDefault="00B92F8C" w:rsidP="00B92F8C">
      <w:pPr>
        <w:pStyle w:val="ListParagraph"/>
        <w:numPr>
          <w:ilvl w:val="0"/>
          <w:numId w:val="5"/>
        </w:numPr>
      </w:pPr>
      <w:r>
        <w:t>C</w:t>
      </w:r>
      <w:r w:rsidR="000C0B4E">
        <w:t>omplete the lead employer</w:t>
      </w:r>
      <w:r w:rsidR="009E490A">
        <w:t xml:space="preserve"> form </w:t>
      </w:r>
      <w:r w:rsidR="000C0B4E">
        <w:t>(</w:t>
      </w:r>
      <w:hyperlink r:id="rId10" w:history="1">
        <w:r w:rsidR="00314B4A" w:rsidRPr="0032679E">
          <w:rPr>
            <w:rStyle w:val="Hyperlink"/>
          </w:rPr>
          <w:t>https://heeoe.hee.nhs.uk/sites/default/files/study_leave_application_form_aug_2021_22.xlsx</w:t>
        </w:r>
      </w:hyperlink>
      <w:r w:rsidR="00314B4A">
        <w:t>)</w:t>
      </w:r>
      <w:r w:rsidR="009E490A">
        <w:t xml:space="preserve">and </w:t>
      </w:r>
      <w:r w:rsidR="000C0B4E">
        <w:t>send it</w:t>
      </w:r>
      <w:r w:rsidR="009E490A">
        <w:t xml:space="preserve"> to </w:t>
      </w:r>
      <w:r w:rsidR="000C0B4E">
        <w:t>their</w:t>
      </w:r>
      <w:r w:rsidR="009E490A">
        <w:t xml:space="preserve"> </w:t>
      </w:r>
      <w:r w:rsidR="000C0B4E">
        <w:t>educational supervisor</w:t>
      </w:r>
      <w:r w:rsidR="009E490A">
        <w:t xml:space="preserve"> for discussion and agreement. </w:t>
      </w:r>
    </w:p>
    <w:p w14:paraId="48791F7F" w14:textId="566B024D" w:rsidR="004C6965" w:rsidRDefault="000C0B4E" w:rsidP="00B92F8C">
      <w:r>
        <w:t xml:space="preserve">If </w:t>
      </w:r>
      <w:r w:rsidR="0027098F">
        <w:t>the</w:t>
      </w:r>
      <w:r w:rsidR="009E490A">
        <w:t xml:space="preserve"> educational supervisor approves the leave they will type in </w:t>
      </w:r>
      <w:r>
        <w:t>their name</w:t>
      </w:r>
      <w:r w:rsidR="009E490A">
        <w:t xml:space="preserve"> and email the form to </w:t>
      </w:r>
      <w:r w:rsidR="00AD07B5">
        <w:t xml:space="preserve">the Public Health </w:t>
      </w:r>
      <w:proofErr w:type="spellStart"/>
      <w:r w:rsidR="00AD07B5">
        <w:t>EoE</w:t>
      </w:r>
      <w:proofErr w:type="spellEnd"/>
      <w:r w:rsidR="00AD07B5">
        <w:t xml:space="preserve"> email address at</w:t>
      </w:r>
      <w:r>
        <w:t xml:space="preserve"> </w:t>
      </w:r>
      <w:hyperlink r:id="rId11">
        <w:r w:rsidRPr="58A81A01">
          <w:rPr>
            <w:rStyle w:val="Hyperlink"/>
          </w:rPr>
          <w:t>phschool.eoe@hee.nhs.uk</w:t>
        </w:r>
      </w:hyperlink>
      <w:r>
        <w:t xml:space="preserve">  </w:t>
      </w:r>
    </w:p>
    <w:p w14:paraId="69BA3708" w14:textId="1AA27E41" w:rsidR="00AD01BF" w:rsidRDefault="00AD01BF" w:rsidP="00AD01BF">
      <w:r>
        <w:rPr>
          <w:b/>
        </w:rPr>
        <w:t xml:space="preserve">Monitoring and </w:t>
      </w:r>
      <w:r w:rsidR="00095E33">
        <w:rPr>
          <w:b/>
        </w:rPr>
        <w:t>dissemination of</w:t>
      </w:r>
      <w:r>
        <w:rPr>
          <w:b/>
        </w:rPr>
        <w:t xml:space="preserve"> study leave </w:t>
      </w:r>
    </w:p>
    <w:p w14:paraId="0F17D6D1" w14:textId="108A4171" w:rsidR="004C6965" w:rsidRDefault="00AD01BF" w:rsidP="00B92F8C">
      <w:r>
        <w:t xml:space="preserve">Registrars are required to keep a record of their study leave and submit this annually to ARCP. Registrars should aim to disseminate their learning through e-mail to colleagues or presentation at PHREE events or similar. </w:t>
      </w:r>
    </w:p>
    <w:p w14:paraId="2098C55A" w14:textId="77777777" w:rsidR="00DB3CC3" w:rsidRPr="00DB3CC3" w:rsidRDefault="005964D4" w:rsidP="000A7177">
      <w:pPr>
        <w:rPr>
          <w:b/>
        </w:rPr>
      </w:pPr>
      <w:r>
        <w:rPr>
          <w:b/>
        </w:rPr>
        <w:t xml:space="preserve">Study </w:t>
      </w:r>
      <w:proofErr w:type="gramStart"/>
      <w:r>
        <w:rPr>
          <w:b/>
        </w:rPr>
        <w:t>leave</w:t>
      </w:r>
      <w:proofErr w:type="gramEnd"/>
      <w:r>
        <w:rPr>
          <w:b/>
        </w:rPr>
        <w:t xml:space="preserve"> f</w:t>
      </w:r>
      <w:r w:rsidR="00DB3CC3" w:rsidRPr="00DB3CC3">
        <w:rPr>
          <w:b/>
        </w:rPr>
        <w:t>unding allowance</w:t>
      </w:r>
    </w:p>
    <w:p w14:paraId="1FD7D4BB" w14:textId="77777777" w:rsidR="00F70AC0" w:rsidRDefault="000A7177" w:rsidP="00993540">
      <w:r>
        <w:t>Due to the nature of the public health train</w:t>
      </w:r>
      <w:r w:rsidR="00134885">
        <w:t>in</w:t>
      </w:r>
      <w:r>
        <w:t>g programme, the funding for study leave varies according to the stage of training</w:t>
      </w:r>
      <w:r w:rsidR="00134885">
        <w:t>. F</w:t>
      </w:r>
      <w:r>
        <w:t xml:space="preserve">or registrars </w:t>
      </w:r>
      <w:r w:rsidR="00DB3CC3" w:rsidRPr="000F2406">
        <w:t xml:space="preserve">working less than full time </w:t>
      </w:r>
      <w:r w:rsidR="00DB3CC3">
        <w:t>(</w:t>
      </w:r>
      <w:r>
        <w:t>LTFT</w:t>
      </w:r>
      <w:r w:rsidR="00DB3CC3">
        <w:t>)</w:t>
      </w:r>
      <w:r w:rsidR="00134885">
        <w:t xml:space="preserve"> the allowance for each stage of training and </w:t>
      </w:r>
      <w:r w:rsidR="00AD78F8">
        <w:t xml:space="preserve">the </w:t>
      </w:r>
      <w:r w:rsidR="00134885">
        <w:t xml:space="preserve">overall </w:t>
      </w:r>
      <w:r w:rsidR="00AD78F8">
        <w:t xml:space="preserve">total </w:t>
      </w:r>
      <w:r w:rsidR="00134885">
        <w:t>is the same as for full time trainees, and a spend up to the full annual amount</w:t>
      </w:r>
      <w:r w:rsidR="00C0525B">
        <w:t xml:space="preserve"> below</w:t>
      </w:r>
      <w:r w:rsidR="00134885">
        <w:t xml:space="preserve"> is allowed </w:t>
      </w:r>
      <w:r w:rsidR="007D6C08">
        <w:t xml:space="preserve">in any </w:t>
      </w:r>
      <w:proofErr w:type="gramStart"/>
      <w:r w:rsidR="007D6C08">
        <w:t>12 month</w:t>
      </w:r>
      <w:proofErr w:type="gramEnd"/>
      <w:r w:rsidR="007D6C08">
        <w:t xml:space="preserve"> period </w:t>
      </w:r>
      <w:r w:rsidR="00AD78F8">
        <w:t>without pro r</w:t>
      </w:r>
      <w:r w:rsidR="00134885">
        <w:t xml:space="preserve">ata reduction as long as the total for each FTE year of training </w:t>
      </w:r>
      <w:r w:rsidR="007D6C08">
        <w:t xml:space="preserve">(which will be longer than 12 months by definition) </w:t>
      </w:r>
      <w:r w:rsidR="00134885">
        <w:t xml:space="preserve">does not exceed the </w:t>
      </w:r>
      <w:r w:rsidR="00C0525B">
        <w:t>full annual amount</w:t>
      </w:r>
      <w:r>
        <w:t xml:space="preserve">. </w:t>
      </w:r>
      <w:r w:rsidR="00993540">
        <w:t xml:space="preserve">Study leave </w:t>
      </w:r>
      <w:r w:rsidR="00DB3CC3">
        <w:t xml:space="preserve">funding covers the cost of courses, </w:t>
      </w:r>
      <w:r w:rsidR="00993540">
        <w:t xml:space="preserve">travel </w:t>
      </w:r>
      <w:r w:rsidR="00993540" w:rsidRPr="00993540">
        <w:t xml:space="preserve">at public transport rates </w:t>
      </w:r>
      <w:r w:rsidR="00993540">
        <w:t xml:space="preserve">and associated accommodation. </w:t>
      </w:r>
      <w:r w:rsidR="00794488">
        <w:t xml:space="preserve">It cannot be used to cover the costs of </w:t>
      </w:r>
      <w:proofErr w:type="gramStart"/>
      <w:r w:rsidR="00794488">
        <w:t>child care</w:t>
      </w:r>
      <w:proofErr w:type="gramEnd"/>
      <w:r w:rsidR="00794488">
        <w:t xml:space="preserve">. </w:t>
      </w:r>
      <w:r w:rsidR="00F70AC0" w:rsidRPr="00F70AC0">
        <w:t xml:space="preserve">Attendance at training programme events must count as study time but the cost of travel will not be deducted from the annual allowance. </w:t>
      </w:r>
      <w:r w:rsidR="005C4409" w:rsidRPr="00DB3CC3">
        <w:t>Study leave funding limits for public health registrars are as follows:</w:t>
      </w:r>
    </w:p>
    <w:p w14:paraId="3608C4E7" w14:textId="77777777" w:rsidR="00AA2DF0" w:rsidRDefault="00AA2DF0" w:rsidP="00AA2DF0">
      <w:r>
        <w:t>ST1 £0 (plus MPhil and associated travel at Public Transport Rate)</w:t>
      </w:r>
    </w:p>
    <w:p w14:paraId="0976A9E3" w14:textId="77777777" w:rsidR="00AA2DF0" w:rsidRDefault="00AA2DF0" w:rsidP="00AA2DF0">
      <w:r>
        <w:t>ST2 £350 (plus regional training programme and associated travel)</w:t>
      </w:r>
    </w:p>
    <w:p w14:paraId="28602662" w14:textId="77777777" w:rsidR="00AA2DF0" w:rsidRDefault="00AA2DF0" w:rsidP="00AA2DF0">
      <w:r>
        <w:t>ST3 £350 (plus regional training programme and associated travel)</w:t>
      </w:r>
    </w:p>
    <w:p w14:paraId="0BAD4AEE" w14:textId="77777777" w:rsidR="00AA2DF0" w:rsidRDefault="00AA2DF0" w:rsidP="00AA2DF0">
      <w:r>
        <w:t>ST4 £6</w:t>
      </w:r>
      <w:r w:rsidR="009A26AB">
        <w:t>5</w:t>
      </w:r>
      <w:r>
        <w:t>0 (plus regional training programme and associated travel)</w:t>
      </w:r>
    </w:p>
    <w:p w14:paraId="12205153" w14:textId="77777777" w:rsidR="00AA2DF0" w:rsidRDefault="00AA2DF0" w:rsidP="00AA2DF0">
      <w:r>
        <w:t>ST5 £650 (plus regional training programme and associated travel)</w:t>
      </w:r>
    </w:p>
    <w:p w14:paraId="292F7205" w14:textId="222F5FF2" w:rsidR="005767B1" w:rsidRDefault="006F3391" w:rsidP="00993540">
      <w:r>
        <w:t>R</w:t>
      </w:r>
      <w:r w:rsidR="00993540">
        <w:t>equests for funding over the</w:t>
      </w:r>
      <w:r>
        <w:t>se</w:t>
      </w:r>
      <w:r w:rsidR="00993540">
        <w:t xml:space="preserve"> limit</w:t>
      </w:r>
      <w:r>
        <w:t>s w</w:t>
      </w:r>
      <w:r w:rsidR="00AA3D82">
        <w:t>ill</w:t>
      </w:r>
      <w:r>
        <w:t xml:space="preserve"> not normally be </w:t>
      </w:r>
      <w:proofErr w:type="gramStart"/>
      <w:r w:rsidR="00A400C4">
        <w:t>approved</w:t>
      </w:r>
      <w:r w:rsidR="00DB3CC3">
        <w:t xml:space="preserve">, </w:t>
      </w:r>
      <w:r>
        <w:t>and</w:t>
      </w:r>
      <w:proofErr w:type="gramEnd"/>
      <w:r w:rsidR="00DB3CC3">
        <w:t xml:space="preserve"> </w:t>
      </w:r>
      <w:r w:rsidR="00993540">
        <w:t xml:space="preserve">should be made directly to the </w:t>
      </w:r>
      <w:r w:rsidR="000F2406" w:rsidRPr="000F2406">
        <w:t xml:space="preserve">Training Programme Director </w:t>
      </w:r>
      <w:r w:rsidR="00C17E52">
        <w:t xml:space="preserve">for North or South Zone </w:t>
      </w:r>
      <w:r w:rsidR="000F2406">
        <w:t xml:space="preserve">(TPD) </w:t>
      </w:r>
      <w:r w:rsidR="00993540">
        <w:t xml:space="preserve">after discussion with and support </w:t>
      </w:r>
      <w:r>
        <w:t>from the educational supervisor</w:t>
      </w:r>
      <w:r w:rsidR="00993540">
        <w:t xml:space="preserve">. </w:t>
      </w:r>
      <w:r w:rsidR="00422FFB" w:rsidRPr="00422FFB">
        <w:t>HEE sug</w:t>
      </w:r>
      <w:r w:rsidR="00422FFB">
        <w:t xml:space="preserve">gests that registrars self-fund </w:t>
      </w:r>
      <w:r w:rsidR="00422FFB" w:rsidRPr="00422FFB">
        <w:t xml:space="preserve">expensive courses </w:t>
      </w:r>
      <w:r w:rsidR="00422FFB">
        <w:t>in part or in full if the HEE study l</w:t>
      </w:r>
      <w:r w:rsidR="00422FFB" w:rsidRPr="00422FFB">
        <w:t>eave budget is not sufficient to cov</w:t>
      </w:r>
      <w:r w:rsidR="00422FFB">
        <w:t>er the full cost of the course and associated expenses</w:t>
      </w:r>
      <w:r w:rsidR="00422FFB" w:rsidRPr="00422FFB">
        <w:t>.</w:t>
      </w:r>
      <w:r w:rsidR="00422FFB">
        <w:t xml:space="preserve"> </w:t>
      </w:r>
      <w:r w:rsidR="00993540">
        <w:t>Registrars mu</w:t>
      </w:r>
      <w:r w:rsidR="00DB3CC3">
        <w:t xml:space="preserve">st still apply for </w:t>
      </w:r>
      <w:r w:rsidR="00422FFB">
        <w:t xml:space="preserve">self-funded </w:t>
      </w:r>
      <w:r w:rsidR="00DB3CC3">
        <w:t xml:space="preserve">study leave. </w:t>
      </w:r>
      <w:r w:rsidR="00D107EF">
        <w:t xml:space="preserve">Registrars failing to attend a pre-booked regionally funded event without prior notice may have the costs deducted from their annual allowance, including accommodation and meals if relevant. </w:t>
      </w:r>
      <w:r w:rsidR="00D107EF" w:rsidRPr="000F2406">
        <w:t xml:space="preserve">Registrars </w:t>
      </w:r>
      <w:r w:rsidR="00D107EF">
        <w:t xml:space="preserve">unable to attend a study event should notify their educational supervisor and the TPD. </w:t>
      </w:r>
    </w:p>
    <w:p w14:paraId="714E476A" w14:textId="6CAB425D" w:rsidR="005767B1" w:rsidRPr="00095E33" w:rsidRDefault="005767B1" w:rsidP="00993540">
      <w:pPr>
        <w:rPr>
          <w:b/>
        </w:rPr>
      </w:pPr>
      <w:r w:rsidRPr="00095E33">
        <w:rPr>
          <w:b/>
        </w:rPr>
        <w:t>Academic trainees</w:t>
      </w:r>
    </w:p>
    <w:p w14:paraId="74BCB0EB" w14:textId="56B4EB4C" w:rsidR="00B82E87" w:rsidRDefault="00262C8C" w:rsidP="00B82E87">
      <w:r w:rsidRPr="00095E33">
        <w:t xml:space="preserve">Academic Clinical Fellows and Clinical Lecturers </w:t>
      </w:r>
      <w:r w:rsidR="005767B1" w:rsidRPr="00095E33">
        <w:t>(academic trainees) are entitled to th</w:t>
      </w:r>
      <w:r w:rsidR="00B82E87">
        <w:t>e</w:t>
      </w:r>
      <w:r w:rsidR="005767B1" w:rsidRPr="00095E33">
        <w:t xml:space="preserve"> standard study leave budget</w:t>
      </w:r>
      <w:r w:rsidR="00B82E87">
        <w:t xml:space="preserve"> set out in this policy</w:t>
      </w:r>
      <w:r w:rsidR="005767B1" w:rsidRPr="00095E33">
        <w:t xml:space="preserve">. </w:t>
      </w:r>
      <w:r w:rsidR="00B82E87" w:rsidRPr="00095E33">
        <w:t>All other travel expenses incurred for work / relocation / etc are claimed via the</w:t>
      </w:r>
      <w:r w:rsidR="00B82E87">
        <w:t>ir</w:t>
      </w:r>
      <w:r w:rsidR="00B82E87" w:rsidRPr="00095E33">
        <w:t xml:space="preserve"> employer in the usual way for that employer.</w:t>
      </w:r>
    </w:p>
    <w:p w14:paraId="438D1C3E" w14:textId="605329DF" w:rsidR="005767B1" w:rsidRPr="00095E33" w:rsidRDefault="005767B1" w:rsidP="005767B1">
      <w:r w:rsidRPr="00095E33">
        <w:t xml:space="preserve">In addition, academic trainees </w:t>
      </w:r>
      <w:r w:rsidR="00B82E87">
        <w:t>can</w:t>
      </w:r>
      <w:r w:rsidR="00262C8C" w:rsidRPr="00095E33">
        <w:t xml:space="preserve"> </w:t>
      </w:r>
      <w:r w:rsidR="00B82E87">
        <w:t xml:space="preserve">access up to </w:t>
      </w:r>
      <w:r w:rsidR="00262C8C" w:rsidRPr="00095E33">
        <w:t>£1,000 per financial year per trainee to attend meetings and conferences that are relevant to academic training.</w:t>
      </w:r>
      <w:r w:rsidRPr="00095E33">
        <w:t xml:space="preserve"> For NIHR funded academic trainees, a £1000 pa bursary is held by the University. Lo</w:t>
      </w:r>
      <w:r w:rsidR="00B82E87">
        <w:t>cally funded academic trainees can claim</w:t>
      </w:r>
      <w:r w:rsidRPr="00095E33">
        <w:t xml:space="preserve"> </w:t>
      </w:r>
      <w:r w:rsidR="00B82E87" w:rsidRPr="00095E33">
        <w:t xml:space="preserve">up to £1000 pa to attend academic meetings and conferences </w:t>
      </w:r>
      <w:r w:rsidRPr="00095E33">
        <w:t>via their employer’s usual study leave route (</w:t>
      </w:r>
      <w:r w:rsidR="00B82E87">
        <w:t>which is</w:t>
      </w:r>
      <w:r w:rsidRPr="00095E33">
        <w:t xml:space="preserve"> then recharged to the public health study leave budget).</w:t>
      </w:r>
    </w:p>
    <w:p w14:paraId="52BAAA67" w14:textId="77777777" w:rsidR="00B92F8C" w:rsidRDefault="00B92F8C" w:rsidP="00B92F8C">
      <w:pPr>
        <w:rPr>
          <w:b/>
        </w:rPr>
      </w:pPr>
      <w:r>
        <w:rPr>
          <w:b/>
        </w:rPr>
        <w:t>S</w:t>
      </w:r>
      <w:r w:rsidRPr="00306163">
        <w:rPr>
          <w:b/>
        </w:rPr>
        <w:t xml:space="preserve">tudy </w:t>
      </w:r>
      <w:proofErr w:type="gramStart"/>
      <w:r w:rsidRPr="00306163">
        <w:rPr>
          <w:b/>
        </w:rPr>
        <w:t>leave</w:t>
      </w:r>
      <w:proofErr w:type="gramEnd"/>
      <w:r>
        <w:rPr>
          <w:b/>
        </w:rPr>
        <w:t xml:space="preserve"> expense</w:t>
      </w:r>
      <w:r w:rsidR="00117792">
        <w:rPr>
          <w:b/>
        </w:rPr>
        <w:t xml:space="preserve"> claim</w:t>
      </w:r>
      <w:r>
        <w:rPr>
          <w:b/>
        </w:rPr>
        <w:t>s</w:t>
      </w:r>
      <w:r w:rsidRPr="00306163">
        <w:rPr>
          <w:b/>
        </w:rPr>
        <w:t xml:space="preserve"> </w:t>
      </w:r>
    </w:p>
    <w:p w14:paraId="5E281F1D" w14:textId="77777777" w:rsidR="00041EF0" w:rsidRDefault="00B92F8C" w:rsidP="00041EF0">
      <w:r>
        <w:t xml:space="preserve">Claims for expenses incurred for study leave events should be submitted on the correct employer claim </w:t>
      </w:r>
      <w:proofErr w:type="gramStart"/>
      <w:r>
        <w:t>form, and</w:t>
      </w:r>
      <w:proofErr w:type="gramEnd"/>
      <w:r>
        <w:t xml:space="preserve"> </w:t>
      </w:r>
      <w:r w:rsidRPr="00F70AC0">
        <w:t>marked as study leave expenses.</w:t>
      </w:r>
      <w:r>
        <w:t xml:space="preserve"> </w:t>
      </w:r>
      <w:r w:rsidR="00D3027C">
        <w:t>Receipts will be required</w:t>
      </w:r>
      <w:r w:rsidR="00D3027C" w:rsidRPr="00D3027C">
        <w:t xml:space="preserve"> </w:t>
      </w:r>
      <w:r w:rsidR="00D3027C">
        <w:t xml:space="preserve">as proof of expenditure. </w:t>
      </w:r>
      <w:r>
        <w:t xml:space="preserve">The standard guidance for expenses claims will apply. </w:t>
      </w:r>
      <w:r w:rsidR="00041EF0">
        <w:t>Travel expenses are subject to the following criteria:</w:t>
      </w:r>
    </w:p>
    <w:p w14:paraId="443E7261" w14:textId="77777777" w:rsidR="00041EF0" w:rsidRDefault="00041EF0" w:rsidP="00041EF0">
      <w:pPr>
        <w:pStyle w:val="ListParagraph"/>
        <w:numPr>
          <w:ilvl w:val="0"/>
          <w:numId w:val="2"/>
        </w:numPr>
      </w:pPr>
      <w:r>
        <w:t xml:space="preserve">Mileage is paid at public transport rate </w:t>
      </w:r>
    </w:p>
    <w:p w14:paraId="2AB6BAB9" w14:textId="77777777" w:rsidR="00041EF0" w:rsidRDefault="00117792" w:rsidP="00041EF0">
      <w:pPr>
        <w:pStyle w:val="ListParagraph"/>
        <w:numPr>
          <w:ilvl w:val="0"/>
          <w:numId w:val="2"/>
        </w:numPr>
      </w:pPr>
      <w:r>
        <w:t>Rail tickets - standard c</w:t>
      </w:r>
      <w:r w:rsidR="00041EF0">
        <w:t xml:space="preserve">lass only </w:t>
      </w:r>
    </w:p>
    <w:p w14:paraId="3F26099F" w14:textId="77777777" w:rsidR="00041EF0" w:rsidRDefault="00041EF0" w:rsidP="00041EF0">
      <w:pPr>
        <w:pStyle w:val="ListParagraph"/>
        <w:numPr>
          <w:ilvl w:val="0"/>
          <w:numId w:val="2"/>
        </w:numPr>
      </w:pPr>
      <w:r>
        <w:t xml:space="preserve">Air fare – prior approval necessary and only where it is demonstrated as being the cheapest form of transport </w:t>
      </w:r>
    </w:p>
    <w:p w14:paraId="314BFE5E" w14:textId="77777777" w:rsidR="00041EF0" w:rsidRDefault="00041EF0" w:rsidP="00041EF0">
      <w:pPr>
        <w:pStyle w:val="ListParagraph"/>
        <w:numPr>
          <w:ilvl w:val="0"/>
          <w:numId w:val="2"/>
        </w:numPr>
      </w:pPr>
      <w:r>
        <w:t>Fares will only be paid from port of entry to the UK</w:t>
      </w:r>
    </w:p>
    <w:p w14:paraId="4B6A1B50" w14:textId="77777777" w:rsidR="00041EF0" w:rsidRDefault="00041EF0" w:rsidP="00041EF0">
      <w:r>
        <w:t>Subsistence expenses are subject to the following:</w:t>
      </w:r>
    </w:p>
    <w:p w14:paraId="40A6AA9F" w14:textId="77777777" w:rsidR="00041EF0" w:rsidRDefault="00041EF0" w:rsidP="00041EF0">
      <w:pPr>
        <w:pStyle w:val="ListParagraph"/>
        <w:numPr>
          <w:ilvl w:val="0"/>
          <w:numId w:val="3"/>
        </w:numPr>
      </w:pPr>
      <w:r>
        <w:t xml:space="preserve">A maximum allowance of one day’s subsistence of £5 (&gt;5 hours away, including the lunchtime between 1200-1400 hours) </w:t>
      </w:r>
    </w:p>
    <w:p w14:paraId="54EC7871" w14:textId="77777777" w:rsidR="00041EF0" w:rsidRDefault="00041EF0" w:rsidP="00041EF0">
      <w:pPr>
        <w:pStyle w:val="ListParagraph"/>
        <w:numPr>
          <w:ilvl w:val="0"/>
          <w:numId w:val="3"/>
        </w:numPr>
      </w:pPr>
      <w:r>
        <w:t>A maximum evening meal allowance of £15 (&gt;10 hours away and incurred after 1900 hours)</w:t>
      </w:r>
    </w:p>
    <w:p w14:paraId="2C37ADE3" w14:textId="6C98DC03" w:rsidR="004C6965" w:rsidRDefault="00041EF0" w:rsidP="004C6965">
      <w:pPr>
        <w:pStyle w:val="ListParagraph"/>
        <w:numPr>
          <w:ilvl w:val="0"/>
          <w:numId w:val="3"/>
        </w:numPr>
      </w:pPr>
      <w:r>
        <w:t>Maximum overnight subsistence of £55 for accommodation (£25 if staying with friends or relatives) and £20 meal allowance.</w:t>
      </w:r>
    </w:p>
    <w:p w14:paraId="6F16B188" w14:textId="77777777" w:rsidR="000F2406" w:rsidRPr="000F2406" w:rsidRDefault="000F2406" w:rsidP="00773599">
      <w:pPr>
        <w:widowControl w:val="0"/>
        <w:rPr>
          <w:b/>
        </w:rPr>
      </w:pPr>
      <w:r w:rsidRPr="000F2406">
        <w:rPr>
          <w:b/>
        </w:rPr>
        <w:t xml:space="preserve">Study </w:t>
      </w:r>
      <w:proofErr w:type="gramStart"/>
      <w:r w:rsidRPr="000F2406">
        <w:rPr>
          <w:b/>
        </w:rPr>
        <w:t>leave</w:t>
      </w:r>
      <w:proofErr w:type="gramEnd"/>
      <w:r w:rsidRPr="000F2406">
        <w:rPr>
          <w:b/>
        </w:rPr>
        <w:t xml:space="preserve"> time </w:t>
      </w:r>
      <w:r w:rsidR="005964D4">
        <w:rPr>
          <w:b/>
        </w:rPr>
        <w:t>allowance</w:t>
      </w:r>
    </w:p>
    <w:p w14:paraId="54A5A6F7" w14:textId="4D1ED62A" w:rsidR="00773599" w:rsidRDefault="00B92F8C" w:rsidP="006711E8">
      <w:r w:rsidRPr="000F2406">
        <w:t xml:space="preserve">The study leave year runs from </w:t>
      </w:r>
      <w:r w:rsidR="006711E8">
        <w:t xml:space="preserve">1 </w:t>
      </w:r>
      <w:r w:rsidRPr="000F2406">
        <w:t xml:space="preserve">August to </w:t>
      </w:r>
      <w:r w:rsidR="006711E8">
        <w:t xml:space="preserve">31 </w:t>
      </w:r>
      <w:r w:rsidRPr="000F2406">
        <w:t>July</w:t>
      </w:r>
      <w:r>
        <w:t xml:space="preserve"> (</w:t>
      </w:r>
      <w:proofErr w:type="gramStart"/>
      <w:r w:rsidR="00F847F9">
        <w:t>i.e.</w:t>
      </w:r>
      <w:proofErr w:type="gramEnd"/>
      <w:r w:rsidR="00F847F9">
        <w:t xml:space="preserve"> </w:t>
      </w:r>
      <w:r>
        <w:t>from the</w:t>
      </w:r>
      <w:r w:rsidR="00F847F9">
        <w:t xml:space="preserve"> usual</w:t>
      </w:r>
      <w:r>
        <w:t xml:space="preserve"> commencement date of the programme for a 12 month period)</w:t>
      </w:r>
      <w:r w:rsidRPr="000F2406">
        <w:t xml:space="preserve">, and unused study leave </w:t>
      </w:r>
      <w:r>
        <w:t xml:space="preserve">time or funding </w:t>
      </w:r>
      <w:r w:rsidRPr="000F2406">
        <w:t>allowances cannot be carried forward into the next year.</w:t>
      </w:r>
      <w:r w:rsidR="006711E8">
        <w:t xml:space="preserve"> </w:t>
      </w:r>
      <w:r w:rsidR="000F2406" w:rsidRPr="000F2406">
        <w:t xml:space="preserve">Specialty registrars are </w:t>
      </w:r>
      <w:r w:rsidR="007F021E">
        <w:t>allowed</w:t>
      </w:r>
      <w:r w:rsidR="000F2406" w:rsidRPr="000F2406">
        <w:t xml:space="preserve"> up to 30 days </w:t>
      </w:r>
      <w:r w:rsidR="00D03094">
        <w:t xml:space="preserve">study leave </w:t>
      </w:r>
      <w:r w:rsidR="000F2406" w:rsidRPr="000F2406">
        <w:t>per year</w:t>
      </w:r>
      <w:r w:rsidR="00596F14">
        <w:t xml:space="preserve">. </w:t>
      </w:r>
      <w:r w:rsidR="007F021E">
        <w:t xml:space="preserve">LTFT </w:t>
      </w:r>
      <w:r w:rsidR="00596F14">
        <w:t>registrars’</w:t>
      </w:r>
      <w:r w:rsidR="007F021E">
        <w:t xml:space="preserve"> </w:t>
      </w:r>
      <w:r w:rsidR="00692AE4">
        <w:t xml:space="preserve">time </w:t>
      </w:r>
      <w:r w:rsidR="007F021E">
        <w:t xml:space="preserve">allowance is reduced </w:t>
      </w:r>
      <w:r w:rsidR="00911D14">
        <w:t xml:space="preserve">pro rata, except in ST1 and ST2 where extra days are allowed if required to attend all required </w:t>
      </w:r>
      <w:r w:rsidR="000F2406" w:rsidRPr="000F2406">
        <w:t xml:space="preserve">training </w:t>
      </w:r>
      <w:r w:rsidR="00911D14">
        <w:t xml:space="preserve">programme </w:t>
      </w:r>
      <w:r w:rsidR="00596F14">
        <w:t xml:space="preserve">courses and </w:t>
      </w:r>
      <w:r w:rsidR="00911D14">
        <w:t xml:space="preserve">events </w:t>
      </w:r>
      <w:r w:rsidR="000F2406" w:rsidRPr="000F2406">
        <w:t xml:space="preserve">and PHREE </w:t>
      </w:r>
      <w:r w:rsidR="00911D14">
        <w:t>days</w:t>
      </w:r>
      <w:r w:rsidR="002C012F">
        <w:t>.</w:t>
      </w:r>
    </w:p>
    <w:p w14:paraId="002C8063" w14:textId="33573A8D" w:rsidR="004C6965" w:rsidRDefault="0014033A" w:rsidP="00782075">
      <w:r>
        <w:t>Registrars</w:t>
      </w:r>
      <w:r w:rsidRPr="0014033A">
        <w:t xml:space="preserve"> on career breaks </w:t>
      </w:r>
      <w:r>
        <w:t xml:space="preserve">will not be granted study leave. </w:t>
      </w:r>
      <w:r w:rsidR="00782075">
        <w:t>Certificate of Completion of Training (CCT) denotes completion of training, and so r</w:t>
      </w:r>
      <w:r w:rsidR="00782075" w:rsidRPr="00CD072F">
        <w:t>egistrars</w:t>
      </w:r>
      <w:r w:rsidR="00782075">
        <w:t xml:space="preserve"> in their grace period post-CCT will not normally be granted study leave other than by direct approval of the TPD. Registrars who reach CCT partway through the academic year will be entitled to study leave days and funding pro-rata. </w:t>
      </w:r>
    </w:p>
    <w:p w14:paraId="4645F9DB" w14:textId="77777777" w:rsidR="00D03094" w:rsidRPr="00D03094" w:rsidRDefault="00117792" w:rsidP="00F2631B">
      <w:pPr>
        <w:rPr>
          <w:b/>
        </w:rPr>
      </w:pPr>
      <w:r>
        <w:rPr>
          <w:b/>
        </w:rPr>
        <w:t>Required study leave</w:t>
      </w:r>
    </w:p>
    <w:p w14:paraId="058F20A1" w14:textId="77777777" w:rsidR="00D42259" w:rsidRDefault="00D56A02" w:rsidP="00D42259">
      <w:pPr>
        <w:widowControl w:val="0"/>
      </w:pPr>
      <w:r>
        <w:t xml:space="preserve">In </w:t>
      </w:r>
      <w:r w:rsidR="005471DD">
        <w:t>ST1</w:t>
      </w:r>
      <w:r>
        <w:t xml:space="preserve">, study leave is </w:t>
      </w:r>
      <w:r w:rsidR="00C55CE2">
        <w:t>entirely</w:t>
      </w:r>
      <w:r>
        <w:t xml:space="preserve"> linked to </w:t>
      </w:r>
      <w:r w:rsidR="005471DD">
        <w:t xml:space="preserve">attending </w:t>
      </w:r>
      <w:r w:rsidR="00C55CE2">
        <w:t>the MPhil course</w:t>
      </w:r>
      <w:r w:rsidR="005471DD" w:rsidRPr="005471DD">
        <w:t xml:space="preserve"> </w:t>
      </w:r>
      <w:r w:rsidR="005471DD">
        <w:t>at Cambridge University (funded by the training programme),</w:t>
      </w:r>
      <w:r w:rsidR="00C55CE2">
        <w:t xml:space="preserve"> l</w:t>
      </w:r>
      <w:r>
        <w:t xml:space="preserve">eadership </w:t>
      </w:r>
      <w:r w:rsidR="00C55CE2">
        <w:t>training</w:t>
      </w:r>
      <w:r w:rsidR="005471DD">
        <w:t>, and development days organised by PHREE (PH registrars)</w:t>
      </w:r>
      <w:r>
        <w:t xml:space="preserve">. </w:t>
      </w:r>
      <w:r w:rsidR="00D42259">
        <w:t>Time taken for study outside the MPhil during ST1 must be taken from annual leave or leave without pay.</w:t>
      </w:r>
      <w:r w:rsidR="004C0204" w:rsidRPr="004C0204">
        <w:t xml:space="preserve"> </w:t>
      </w:r>
      <w:r w:rsidR="004C0204">
        <w:t xml:space="preserve">In ST2, study leave is almost entirely for </w:t>
      </w:r>
      <w:r w:rsidR="00004C91">
        <w:t xml:space="preserve">the </w:t>
      </w:r>
      <w:r w:rsidR="004C0204">
        <w:t xml:space="preserve">Part A exam and revision. </w:t>
      </w:r>
    </w:p>
    <w:p w14:paraId="55356FCD" w14:textId="1DC90E88" w:rsidR="004C6965" w:rsidRDefault="00D42259" w:rsidP="00117792">
      <w:pPr>
        <w:widowControl w:val="0"/>
      </w:pPr>
      <w:r w:rsidRPr="007D22EA">
        <w:t xml:space="preserve">Attendance </w:t>
      </w:r>
      <w:r>
        <w:t>at PHREE days is</w:t>
      </w:r>
      <w:r w:rsidRPr="007D22EA">
        <w:t xml:space="preserve"> important for links across cohorts as well as </w:t>
      </w:r>
      <w:proofErr w:type="gramStart"/>
      <w:r w:rsidRPr="007D22EA">
        <w:t>learning</w:t>
      </w:r>
      <w:r>
        <w:t>, and</w:t>
      </w:r>
      <w:proofErr w:type="gramEnd"/>
      <w:r>
        <w:t xml:space="preserve"> </w:t>
      </w:r>
      <w:r w:rsidRPr="007D22EA">
        <w:t xml:space="preserve">is expected </w:t>
      </w:r>
      <w:r>
        <w:t>throughout</w:t>
      </w:r>
      <w:r w:rsidRPr="007D22EA">
        <w:t xml:space="preserve"> training.</w:t>
      </w:r>
      <w:r>
        <w:t xml:space="preserve"> Six</w:t>
      </w:r>
      <w:r w:rsidRPr="00773599">
        <w:t xml:space="preserve"> days are allocated for PHREE attendance in each calendar year; these are non-transferable and may </w:t>
      </w:r>
      <w:r>
        <w:t>not be used for other purposes.</w:t>
      </w:r>
      <w:r w:rsidRPr="00D422D8">
        <w:t xml:space="preserve"> </w:t>
      </w:r>
    </w:p>
    <w:p w14:paraId="7E0EE934" w14:textId="77777777" w:rsidR="005A62EC" w:rsidRDefault="00930601" w:rsidP="005A62EC">
      <w:r>
        <w:rPr>
          <w:b/>
        </w:rPr>
        <w:t>O</w:t>
      </w:r>
      <w:r w:rsidR="005A62EC">
        <w:rPr>
          <w:b/>
        </w:rPr>
        <w:t>ptional</w:t>
      </w:r>
      <w:r w:rsidR="005A62EC" w:rsidRPr="009D599D">
        <w:rPr>
          <w:b/>
        </w:rPr>
        <w:t xml:space="preserve"> study leave </w:t>
      </w:r>
    </w:p>
    <w:p w14:paraId="1D157903" w14:textId="0135EA6C" w:rsidR="005A62EC" w:rsidRDefault="005A62EC" w:rsidP="005A62EC">
      <w:r w:rsidRPr="00232DAC">
        <w:t xml:space="preserve">Study leave for personal development must be linked to the educational needs </w:t>
      </w:r>
      <w:r w:rsidR="00930601" w:rsidRPr="00232DAC">
        <w:t xml:space="preserve">of the individual </w:t>
      </w:r>
      <w:r w:rsidRPr="00232DAC">
        <w:t xml:space="preserve">and </w:t>
      </w:r>
      <w:r w:rsidR="00930601">
        <w:t>learning outcomes on the public health curriculum</w:t>
      </w:r>
      <w:r w:rsidRPr="00232DAC">
        <w:t xml:space="preserve">. These must be discussed and </w:t>
      </w:r>
      <w:r w:rsidR="004C0204">
        <w:t>agreed by the</w:t>
      </w:r>
      <w:r w:rsidRPr="00232DAC">
        <w:t xml:space="preserve"> Educational Supervisor</w:t>
      </w:r>
      <w:r>
        <w:t xml:space="preserve">. Requests for study leave for international events must be made to the </w:t>
      </w:r>
      <w:r w:rsidRPr="000F2406">
        <w:t>TPD</w:t>
      </w:r>
      <w:r>
        <w:t xml:space="preserve"> for North or South Zone</w:t>
      </w:r>
      <w:r w:rsidRPr="000F2406">
        <w:t xml:space="preserve"> </w:t>
      </w:r>
      <w:r>
        <w:t xml:space="preserve">and will not normally be </w:t>
      </w:r>
      <w:proofErr w:type="gramStart"/>
      <w:r>
        <w:t>supported, but</w:t>
      </w:r>
      <w:proofErr w:type="gramEnd"/>
      <w:r>
        <w:t xml:space="preserve"> may be considered if the registrar is the primary author and attendance meets agreed learning objectives. International</w:t>
      </w:r>
      <w:r w:rsidRPr="00187286">
        <w:t xml:space="preserve"> travel costs </w:t>
      </w:r>
      <w:r>
        <w:t>will not</w:t>
      </w:r>
      <w:r w:rsidRPr="00187286">
        <w:t xml:space="preserve"> </w:t>
      </w:r>
      <w:r w:rsidR="00F847F9">
        <w:t xml:space="preserve">normally </w:t>
      </w:r>
      <w:r w:rsidRPr="00187286">
        <w:t xml:space="preserve">be funded, </w:t>
      </w:r>
      <w:r>
        <w:t>but subsistence at normal rates may be claimed if the leave is approved.</w:t>
      </w:r>
    </w:p>
    <w:p w14:paraId="5BD02B26" w14:textId="77777777" w:rsidR="005A62EC" w:rsidRDefault="005A62EC" w:rsidP="005A62EC">
      <w:r>
        <w:t xml:space="preserve">Registrars in ST3, 4 &amp; 5 may apply for self-funded study leave out of their allowance of 30 days, for example registrars may request study leave for the preparation of papers to be submitted for publication. In these circumstances the educational supervisor and registrar will agree milestones for the completion and submission of work in advance. The agreed period of study leave must normally be taken in the office unless it is agreed with the educational supervisor that an alternative venue would be more productive. </w:t>
      </w:r>
    </w:p>
    <w:p w14:paraId="5C144072" w14:textId="77777777" w:rsidR="00D03094" w:rsidRPr="00D107EF" w:rsidRDefault="00D107EF" w:rsidP="00D107EF">
      <w:r w:rsidRPr="00D107EF">
        <w:t>Study time for Part A revision in addition to the MPhil course and revision study groups will be for a maximum of 5 days (2.5 days per paper</w:t>
      </w:r>
      <w:proofErr w:type="gramStart"/>
      <w:r w:rsidRPr="00D107EF">
        <w:t>), and</w:t>
      </w:r>
      <w:proofErr w:type="gramEnd"/>
      <w:r w:rsidRPr="00D107EF">
        <w:t xml:space="preserve"> should be agreed with the educational supervisor and a study plan agreed. </w:t>
      </w:r>
      <w:r w:rsidR="0084633F">
        <w:t>R</w:t>
      </w:r>
      <w:r w:rsidR="0084633F" w:rsidRPr="00EC1CBA">
        <w:t>egistrar</w:t>
      </w:r>
      <w:r w:rsidR="0084633F">
        <w:t>s are expected to spend some of their own time in private study for examinations</w:t>
      </w:r>
      <w:r w:rsidRPr="00D107EF">
        <w:t>.</w:t>
      </w:r>
    </w:p>
    <w:p w14:paraId="0FF947FC" w14:textId="394E8561" w:rsidR="004C6965" w:rsidRDefault="0084633F" w:rsidP="00F2631B">
      <w:r>
        <w:t xml:space="preserve">In </w:t>
      </w:r>
      <w:r w:rsidR="00D56A02">
        <w:t xml:space="preserve">ST3, </w:t>
      </w:r>
      <w:r w:rsidR="0097134F">
        <w:t xml:space="preserve">some study leave days are linked to the OSPHE. </w:t>
      </w:r>
      <w:r w:rsidR="00D107EF" w:rsidRPr="00D107EF">
        <w:t>Private study time will not be granted for Part B which is an exam best prepared for in the workplace</w:t>
      </w:r>
      <w:r w:rsidR="00D107EF">
        <w:t xml:space="preserve">. </w:t>
      </w:r>
      <w:r w:rsidR="0097134F">
        <w:t>In ST</w:t>
      </w:r>
      <w:r w:rsidR="00D56A02">
        <w:t>4</w:t>
      </w:r>
      <w:r>
        <w:t xml:space="preserve"> and</w:t>
      </w:r>
      <w:r w:rsidR="00D56A02">
        <w:t xml:space="preserve"> </w:t>
      </w:r>
      <w:r w:rsidR="0097134F">
        <w:t>ST</w:t>
      </w:r>
      <w:r w:rsidR="00D56A02">
        <w:t xml:space="preserve">5 </w:t>
      </w:r>
      <w:r>
        <w:t xml:space="preserve">study leave is available for educational events and </w:t>
      </w:r>
      <w:r w:rsidR="00D56A02">
        <w:t>specialist courses according to educational need</w:t>
      </w:r>
      <w:r w:rsidR="00D107EF">
        <w:t>.</w:t>
      </w:r>
      <w:r w:rsidR="00D107EF" w:rsidRPr="00D107EF">
        <w:t xml:space="preserve"> </w:t>
      </w:r>
    </w:p>
    <w:p w14:paraId="145FBF79" w14:textId="2649FC4D" w:rsidR="00B82E87" w:rsidRDefault="00B82E87" w:rsidP="00F2631B"/>
    <w:p w14:paraId="5B2BC630" w14:textId="77777777" w:rsidR="00B82E87" w:rsidRDefault="00B82E87" w:rsidP="00F2631B"/>
    <w:p w14:paraId="694B379B" w14:textId="77777777" w:rsidR="004C6965" w:rsidRDefault="004C6965">
      <w:r>
        <w:br w:type="page"/>
      </w:r>
    </w:p>
    <w:p w14:paraId="05A123D5" w14:textId="01D8AC7D" w:rsidR="00AD01BF" w:rsidRDefault="004C6965" w:rsidP="00F2631B">
      <w:pPr>
        <w:rPr>
          <w:b/>
        </w:rPr>
      </w:pPr>
      <w:r w:rsidRPr="004C6965">
        <w:rPr>
          <w:b/>
        </w:rPr>
        <w:t xml:space="preserve">Table: Study leave </w:t>
      </w:r>
      <w:r w:rsidR="00262C8C">
        <w:rPr>
          <w:b/>
        </w:rPr>
        <w:t>allocation by the programme</w:t>
      </w:r>
      <w:r w:rsidRPr="004C6965">
        <w:rPr>
          <w:b/>
        </w:rPr>
        <w:t xml:space="preserve"> for each stage of training (ST1 to ST5)</w:t>
      </w:r>
    </w:p>
    <w:p w14:paraId="11E852C9" w14:textId="77777777" w:rsidR="004C6965" w:rsidRDefault="004C6965" w:rsidP="00F2631B"/>
    <w:tbl>
      <w:tblPr>
        <w:tblStyle w:val="TableGrid"/>
        <w:tblW w:w="0" w:type="auto"/>
        <w:tblLook w:val="04A0" w:firstRow="1" w:lastRow="0" w:firstColumn="1" w:lastColumn="0" w:noHBand="0" w:noVBand="1"/>
      </w:tblPr>
      <w:tblGrid>
        <w:gridCol w:w="2972"/>
        <w:gridCol w:w="1134"/>
        <w:gridCol w:w="2126"/>
        <w:gridCol w:w="1560"/>
        <w:gridCol w:w="1224"/>
      </w:tblGrid>
      <w:tr w:rsidR="00615A70" w14:paraId="19B9944D" w14:textId="77777777" w:rsidTr="00376A9F">
        <w:tc>
          <w:tcPr>
            <w:tcW w:w="2972" w:type="dxa"/>
          </w:tcPr>
          <w:p w14:paraId="18BCA989" w14:textId="77777777" w:rsidR="00615A70" w:rsidRDefault="00615A70" w:rsidP="00F2631B">
            <w:r>
              <w:t>Year and event</w:t>
            </w:r>
          </w:p>
        </w:tc>
        <w:tc>
          <w:tcPr>
            <w:tcW w:w="1134" w:type="dxa"/>
          </w:tcPr>
          <w:p w14:paraId="18C0AF4F" w14:textId="77777777" w:rsidR="00615A70" w:rsidRDefault="00615A70" w:rsidP="00F2631B">
            <w:r>
              <w:t>No. of days</w:t>
            </w:r>
          </w:p>
        </w:tc>
        <w:tc>
          <w:tcPr>
            <w:tcW w:w="2126" w:type="dxa"/>
          </w:tcPr>
          <w:p w14:paraId="33122891" w14:textId="77777777" w:rsidR="00615A70" w:rsidRDefault="00615A70" w:rsidP="00F2631B">
            <w:r>
              <w:t>£ from allowance</w:t>
            </w:r>
          </w:p>
        </w:tc>
        <w:tc>
          <w:tcPr>
            <w:tcW w:w="1560" w:type="dxa"/>
          </w:tcPr>
          <w:p w14:paraId="5AAB055C" w14:textId="77777777" w:rsidR="00615A70" w:rsidRDefault="006A0BDF" w:rsidP="00F2631B">
            <w:r>
              <w:t xml:space="preserve">Travel </w:t>
            </w:r>
            <w:r w:rsidR="00615A70">
              <w:t>£ not deducted from allowance</w:t>
            </w:r>
          </w:p>
        </w:tc>
        <w:tc>
          <w:tcPr>
            <w:tcW w:w="1224" w:type="dxa"/>
          </w:tcPr>
          <w:p w14:paraId="6DF98D96" w14:textId="77777777" w:rsidR="00615A70" w:rsidRDefault="006A0BDF" w:rsidP="00F2631B">
            <w:r>
              <w:t>Course £ not deducted from allowance</w:t>
            </w:r>
          </w:p>
        </w:tc>
      </w:tr>
      <w:tr w:rsidR="00357525" w:rsidRPr="00FC042F" w14:paraId="30DBBD72" w14:textId="77777777" w:rsidTr="00314B4A">
        <w:tc>
          <w:tcPr>
            <w:tcW w:w="9016" w:type="dxa"/>
            <w:gridSpan w:val="5"/>
          </w:tcPr>
          <w:p w14:paraId="7F7B1B85" w14:textId="77777777" w:rsidR="00357525" w:rsidRPr="00FC042F" w:rsidRDefault="00357525" w:rsidP="00F2631B">
            <w:pPr>
              <w:rPr>
                <w:b/>
              </w:rPr>
            </w:pPr>
            <w:r w:rsidRPr="00FC042F">
              <w:rPr>
                <w:b/>
              </w:rPr>
              <w:t>ST1</w:t>
            </w:r>
          </w:p>
        </w:tc>
      </w:tr>
      <w:tr w:rsidR="006A0BDF" w14:paraId="77F46A2F" w14:textId="77777777" w:rsidTr="00F70451">
        <w:trPr>
          <w:trHeight w:val="47"/>
        </w:trPr>
        <w:tc>
          <w:tcPr>
            <w:tcW w:w="2972" w:type="dxa"/>
          </w:tcPr>
          <w:p w14:paraId="78FF8944" w14:textId="77777777" w:rsidR="006A0BDF" w:rsidRDefault="00FC042F" w:rsidP="00F2631B">
            <w:r>
              <w:t>MPhil course</w:t>
            </w:r>
          </w:p>
        </w:tc>
        <w:tc>
          <w:tcPr>
            <w:tcW w:w="1134" w:type="dxa"/>
          </w:tcPr>
          <w:p w14:paraId="7E41E126" w14:textId="77777777" w:rsidR="006A0BDF" w:rsidRDefault="00FC042F" w:rsidP="00F2631B">
            <w:r>
              <w:t>120</w:t>
            </w:r>
          </w:p>
        </w:tc>
        <w:tc>
          <w:tcPr>
            <w:tcW w:w="2126" w:type="dxa"/>
          </w:tcPr>
          <w:p w14:paraId="40675AED" w14:textId="77777777" w:rsidR="006A0BDF" w:rsidRDefault="006A0BDF" w:rsidP="00F2631B"/>
        </w:tc>
        <w:tc>
          <w:tcPr>
            <w:tcW w:w="1560" w:type="dxa"/>
          </w:tcPr>
          <w:p w14:paraId="58181422" w14:textId="77777777" w:rsidR="006A0BDF" w:rsidRDefault="00AC1BE0" w:rsidP="00F2631B">
            <w:r>
              <w:t>Travel @ PTR</w:t>
            </w:r>
          </w:p>
        </w:tc>
        <w:tc>
          <w:tcPr>
            <w:tcW w:w="1224" w:type="dxa"/>
          </w:tcPr>
          <w:p w14:paraId="2EC9349E" w14:textId="63388FDD" w:rsidR="006A0BDF" w:rsidRDefault="00AC1BE0" w:rsidP="00F2631B">
            <w:r>
              <w:t>£</w:t>
            </w:r>
            <w:r w:rsidR="00024F5B" w:rsidRPr="00024F5B">
              <w:t xml:space="preserve"> 10,047</w:t>
            </w:r>
          </w:p>
        </w:tc>
      </w:tr>
      <w:tr w:rsidR="00357525" w14:paraId="14ADDF3F" w14:textId="77777777" w:rsidTr="00376A9F">
        <w:tc>
          <w:tcPr>
            <w:tcW w:w="2972" w:type="dxa"/>
          </w:tcPr>
          <w:p w14:paraId="769A96A4" w14:textId="77777777" w:rsidR="00357525" w:rsidRDefault="00357525" w:rsidP="00F2631B">
            <w:r>
              <w:t>NHS leadership academy Edward Jenner course</w:t>
            </w:r>
          </w:p>
        </w:tc>
        <w:tc>
          <w:tcPr>
            <w:tcW w:w="1134" w:type="dxa"/>
          </w:tcPr>
          <w:p w14:paraId="2391FE4D" w14:textId="77777777" w:rsidR="00357525" w:rsidRDefault="00357525" w:rsidP="00F2631B">
            <w:r>
              <w:t>2</w:t>
            </w:r>
          </w:p>
        </w:tc>
        <w:tc>
          <w:tcPr>
            <w:tcW w:w="2126" w:type="dxa"/>
          </w:tcPr>
          <w:p w14:paraId="32D59907" w14:textId="77777777" w:rsidR="00357525" w:rsidRDefault="00357525" w:rsidP="00F2631B"/>
        </w:tc>
        <w:tc>
          <w:tcPr>
            <w:tcW w:w="1560" w:type="dxa"/>
          </w:tcPr>
          <w:p w14:paraId="475C7F34" w14:textId="77777777" w:rsidR="00357525" w:rsidRDefault="006537F4" w:rsidP="00F2631B">
            <w:r w:rsidRPr="006537F4">
              <w:t>Travel @ PTR</w:t>
            </w:r>
          </w:p>
        </w:tc>
        <w:tc>
          <w:tcPr>
            <w:tcW w:w="1224" w:type="dxa"/>
          </w:tcPr>
          <w:p w14:paraId="4288C9AE" w14:textId="77777777" w:rsidR="00357525" w:rsidRDefault="00357525" w:rsidP="00F2631B"/>
        </w:tc>
      </w:tr>
      <w:tr w:rsidR="00E32C9A" w14:paraId="7B7B7539" w14:textId="77777777" w:rsidTr="00376A9F">
        <w:tc>
          <w:tcPr>
            <w:tcW w:w="2972" w:type="dxa"/>
          </w:tcPr>
          <w:p w14:paraId="6D5A2EDA" w14:textId="77777777" w:rsidR="00E32C9A" w:rsidRDefault="00E32C9A" w:rsidP="00E32C9A">
            <w:r>
              <w:t xml:space="preserve">Faculty of Public Health (FPH) free induction event </w:t>
            </w:r>
          </w:p>
        </w:tc>
        <w:tc>
          <w:tcPr>
            <w:tcW w:w="1134" w:type="dxa"/>
          </w:tcPr>
          <w:p w14:paraId="37C45F86" w14:textId="77777777" w:rsidR="00E32C9A" w:rsidRDefault="004D1052" w:rsidP="00F2631B">
            <w:r>
              <w:t>1</w:t>
            </w:r>
          </w:p>
        </w:tc>
        <w:tc>
          <w:tcPr>
            <w:tcW w:w="2126" w:type="dxa"/>
          </w:tcPr>
          <w:p w14:paraId="03917B1D" w14:textId="77777777" w:rsidR="00E32C9A" w:rsidRDefault="00E32C9A" w:rsidP="00F2631B"/>
        </w:tc>
        <w:tc>
          <w:tcPr>
            <w:tcW w:w="1560" w:type="dxa"/>
          </w:tcPr>
          <w:p w14:paraId="7F2CBC6E" w14:textId="77777777" w:rsidR="00E32C9A" w:rsidRPr="006537F4" w:rsidRDefault="00E32C9A" w:rsidP="00F2631B">
            <w:r w:rsidRPr="00E32C9A">
              <w:t>Travel @ PTR</w:t>
            </w:r>
          </w:p>
        </w:tc>
        <w:tc>
          <w:tcPr>
            <w:tcW w:w="1224" w:type="dxa"/>
          </w:tcPr>
          <w:p w14:paraId="7245D14D" w14:textId="77777777" w:rsidR="00E32C9A" w:rsidRDefault="00E32C9A" w:rsidP="00F2631B"/>
        </w:tc>
      </w:tr>
      <w:tr w:rsidR="00357525" w14:paraId="2102D1E7" w14:textId="77777777" w:rsidTr="00376A9F">
        <w:tc>
          <w:tcPr>
            <w:tcW w:w="2972" w:type="dxa"/>
          </w:tcPr>
          <w:p w14:paraId="4A4D0E75" w14:textId="77777777" w:rsidR="00357525" w:rsidRDefault="00357525" w:rsidP="00F2631B">
            <w:r>
              <w:t>PHREE days</w:t>
            </w:r>
          </w:p>
        </w:tc>
        <w:tc>
          <w:tcPr>
            <w:tcW w:w="1134" w:type="dxa"/>
          </w:tcPr>
          <w:p w14:paraId="093076FF" w14:textId="77777777" w:rsidR="00357525" w:rsidRDefault="00357525" w:rsidP="00F2631B">
            <w:r>
              <w:t>6</w:t>
            </w:r>
          </w:p>
        </w:tc>
        <w:tc>
          <w:tcPr>
            <w:tcW w:w="2126" w:type="dxa"/>
          </w:tcPr>
          <w:p w14:paraId="2351DBF8" w14:textId="77777777" w:rsidR="00357525" w:rsidRDefault="00357525" w:rsidP="00F2631B"/>
        </w:tc>
        <w:tc>
          <w:tcPr>
            <w:tcW w:w="1560" w:type="dxa"/>
          </w:tcPr>
          <w:p w14:paraId="16708FF0" w14:textId="77777777" w:rsidR="00357525" w:rsidRDefault="006537F4" w:rsidP="00F2631B">
            <w:r w:rsidRPr="006537F4">
              <w:t>Travel @ PTR</w:t>
            </w:r>
          </w:p>
        </w:tc>
        <w:tc>
          <w:tcPr>
            <w:tcW w:w="1224" w:type="dxa"/>
          </w:tcPr>
          <w:p w14:paraId="774EB1AB" w14:textId="77777777" w:rsidR="00357525" w:rsidRDefault="00357525" w:rsidP="00F2631B"/>
        </w:tc>
      </w:tr>
      <w:tr w:rsidR="00357525" w:rsidRPr="0084633F" w14:paraId="7513797C" w14:textId="77777777" w:rsidTr="00376A9F">
        <w:tc>
          <w:tcPr>
            <w:tcW w:w="2972" w:type="dxa"/>
          </w:tcPr>
          <w:p w14:paraId="043B4A3D" w14:textId="77777777" w:rsidR="00357525" w:rsidRPr="0084633F" w:rsidRDefault="00357525" w:rsidP="00F2631B">
            <w:pPr>
              <w:rPr>
                <w:b/>
              </w:rPr>
            </w:pPr>
            <w:r w:rsidRPr="0084633F">
              <w:rPr>
                <w:b/>
              </w:rPr>
              <w:t>Total</w:t>
            </w:r>
          </w:p>
        </w:tc>
        <w:tc>
          <w:tcPr>
            <w:tcW w:w="1134" w:type="dxa"/>
          </w:tcPr>
          <w:p w14:paraId="719BA5ED" w14:textId="77777777" w:rsidR="00357525" w:rsidRPr="0084633F" w:rsidRDefault="004D1052" w:rsidP="00F2631B">
            <w:pPr>
              <w:rPr>
                <w:b/>
              </w:rPr>
            </w:pPr>
            <w:r>
              <w:rPr>
                <w:b/>
              </w:rPr>
              <w:t>129</w:t>
            </w:r>
          </w:p>
        </w:tc>
        <w:tc>
          <w:tcPr>
            <w:tcW w:w="2126" w:type="dxa"/>
          </w:tcPr>
          <w:p w14:paraId="7B3975E5" w14:textId="77777777" w:rsidR="00357525" w:rsidRPr="0084633F" w:rsidRDefault="00357525" w:rsidP="00F2631B">
            <w:pPr>
              <w:rPr>
                <w:b/>
              </w:rPr>
            </w:pPr>
          </w:p>
        </w:tc>
        <w:tc>
          <w:tcPr>
            <w:tcW w:w="1560" w:type="dxa"/>
          </w:tcPr>
          <w:p w14:paraId="666CDBAF" w14:textId="77777777" w:rsidR="00357525" w:rsidRPr="0084633F" w:rsidRDefault="00357525" w:rsidP="00F2631B">
            <w:pPr>
              <w:rPr>
                <w:b/>
              </w:rPr>
            </w:pPr>
          </w:p>
        </w:tc>
        <w:tc>
          <w:tcPr>
            <w:tcW w:w="1224" w:type="dxa"/>
          </w:tcPr>
          <w:p w14:paraId="7934AE66" w14:textId="77777777" w:rsidR="00357525" w:rsidRPr="0084633F" w:rsidRDefault="00357525" w:rsidP="00F2631B">
            <w:pPr>
              <w:rPr>
                <w:b/>
              </w:rPr>
            </w:pPr>
          </w:p>
        </w:tc>
      </w:tr>
      <w:tr w:rsidR="00357525" w:rsidRPr="00FC042F" w14:paraId="382D17EE" w14:textId="77777777" w:rsidTr="00314B4A">
        <w:tc>
          <w:tcPr>
            <w:tcW w:w="9016" w:type="dxa"/>
            <w:gridSpan w:val="5"/>
          </w:tcPr>
          <w:p w14:paraId="072882C3" w14:textId="77777777" w:rsidR="00357525" w:rsidRPr="00FC042F" w:rsidRDefault="00357525" w:rsidP="00F2631B">
            <w:pPr>
              <w:rPr>
                <w:b/>
              </w:rPr>
            </w:pPr>
            <w:r w:rsidRPr="00FC042F">
              <w:rPr>
                <w:b/>
              </w:rPr>
              <w:t>ST2</w:t>
            </w:r>
          </w:p>
        </w:tc>
      </w:tr>
      <w:tr w:rsidR="006A0BDF" w14:paraId="7BE2787F" w14:textId="77777777" w:rsidTr="00376A9F">
        <w:tc>
          <w:tcPr>
            <w:tcW w:w="2972" w:type="dxa"/>
          </w:tcPr>
          <w:p w14:paraId="34FBDBEE" w14:textId="77777777" w:rsidR="006A0BDF" w:rsidRDefault="0035488A" w:rsidP="00F2631B">
            <w:r>
              <w:t>Part A revision study groups</w:t>
            </w:r>
          </w:p>
        </w:tc>
        <w:tc>
          <w:tcPr>
            <w:tcW w:w="1134" w:type="dxa"/>
          </w:tcPr>
          <w:p w14:paraId="3D310477" w14:textId="664E61A5" w:rsidR="006A0BDF" w:rsidRDefault="005227EA" w:rsidP="00F2631B">
            <w:r>
              <w:t>1</w:t>
            </w:r>
            <w:r w:rsidR="007F2E08">
              <w:t>1</w:t>
            </w:r>
          </w:p>
        </w:tc>
        <w:tc>
          <w:tcPr>
            <w:tcW w:w="2126" w:type="dxa"/>
          </w:tcPr>
          <w:p w14:paraId="1C851C41" w14:textId="77777777" w:rsidR="006A0BDF" w:rsidRDefault="006A0BDF" w:rsidP="00F2631B"/>
        </w:tc>
        <w:tc>
          <w:tcPr>
            <w:tcW w:w="1560" w:type="dxa"/>
          </w:tcPr>
          <w:p w14:paraId="3999A6FB" w14:textId="77777777" w:rsidR="006A0BDF" w:rsidRDefault="006537F4" w:rsidP="00F2631B">
            <w:r w:rsidRPr="006537F4">
              <w:t>Travel @ PTR</w:t>
            </w:r>
          </w:p>
        </w:tc>
        <w:tc>
          <w:tcPr>
            <w:tcW w:w="1224" w:type="dxa"/>
          </w:tcPr>
          <w:p w14:paraId="56A7BBF5" w14:textId="77777777" w:rsidR="006A0BDF" w:rsidRDefault="006A0BDF" w:rsidP="00F2631B"/>
        </w:tc>
      </w:tr>
      <w:tr w:rsidR="007F2E08" w14:paraId="4EBDFA04" w14:textId="77777777" w:rsidTr="00376A9F">
        <w:tc>
          <w:tcPr>
            <w:tcW w:w="2972" w:type="dxa"/>
          </w:tcPr>
          <w:p w14:paraId="7201CB32" w14:textId="450C6117" w:rsidR="007F2E08" w:rsidRDefault="007F2E08" w:rsidP="00F2631B">
            <w:r w:rsidRPr="007F2E08">
              <w:t xml:space="preserve">Part A revision </w:t>
            </w:r>
            <w:r w:rsidR="00BE6319">
              <w:t>group mocks</w:t>
            </w:r>
          </w:p>
        </w:tc>
        <w:tc>
          <w:tcPr>
            <w:tcW w:w="1134" w:type="dxa"/>
          </w:tcPr>
          <w:p w14:paraId="49DD23D1" w14:textId="692D5CAB" w:rsidR="007F2E08" w:rsidRDefault="007F2E08" w:rsidP="00F2631B">
            <w:r>
              <w:t>2</w:t>
            </w:r>
          </w:p>
        </w:tc>
        <w:tc>
          <w:tcPr>
            <w:tcW w:w="2126" w:type="dxa"/>
          </w:tcPr>
          <w:p w14:paraId="43B3DD12" w14:textId="77777777" w:rsidR="007F2E08" w:rsidRDefault="007F2E08" w:rsidP="00F2631B"/>
        </w:tc>
        <w:tc>
          <w:tcPr>
            <w:tcW w:w="1560" w:type="dxa"/>
          </w:tcPr>
          <w:p w14:paraId="6634D4B4" w14:textId="08B22AF9" w:rsidR="007F2E08" w:rsidRPr="006537F4" w:rsidRDefault="00BE6319" w:rsidP="00F2631B">
            <w:r w:rsidRPr="00BE6319">
              <w:t>Travel @ PTR</w:t>
            </w:r>
          </w:p>
        </w:tc>
        <w:tc>
          <w:tcPr>
            <w:tcW w:w="1224" w:type="dxa"/>
          </w:tcPr>
          <w:p w14:paraId="13D0DD14" w14:textId="77777777" w:rsidR="007F2E08" w:rsidRDefault="007F2E08" w:rsidP="00F2631B"/>
        </w:tc>
      </w:tr>
      <w:tr w:rsidR="00C404A5" w14:paraId="3A1A5514" w14:textId="77777777" w:rsidTr="00376A9F">
        <w:tc>
          <w:tcPr>
            <w:tcW w:w="2972" w:type="dxa"/>
          </w:tcPr>
          <w:p w14:paraId="3A359FD1" w14:textId="77777777" w:rsidR="00C404A5" w:rsidRDefault="00C404A5" w:rsidP="00F2631B">
            <w:r>
              <w:t>Part A exam</w:t>
            </w:r>
          </w:p>
        </w:tc>
        <w:tc>
          <w:tcPr>
            <w:tcW w:w="1134" w:type="dxa"/>
          </w:tcPr>
          <w:p w14:paraId="3640DC2F" w14:textId="77777777" w:rsidR="00C404A5" w:rsidRDefault="00C404A5" w:rsidP="00F2631B">
            <w:r>
              <w:t>2</w:t>
            </w:r>
          </w:p>
        </w:tc>
        <w:tc>
          <w:tcPr>
            <w:tcW w:w="2126" w:type="dxa"/>
          </w:tcPr>
          <w:p w14:paraId="714BC6F2" w14:textId="77777777" w:rsidR="00C404A5" w:rsidRDefault="006537F4" w:rsidP="006537F4">
            <w:r w:rsidRPr="006537F4">
              <w:t xml:space="preserve">Travel </w:t>
            </w:r>
            <w:r>
              <w:t>&amp; subsistence</w:t>
            </w:r>
          </w:p>
        </w:tc>
        <w:tc>
          <w:tcPr>
            <w:tcW w:w="1560" w:type="dxa"/>
          </w:tcPr>
          <w:p w14:paraId="031C23E2" w14:textId="77777777" w:rsidR="00C404A5" w:rsidRDefault="00C404A5" w:rsidP="00F2631B"/>
        </w:tc>
        <w:tc>
          <w:tcPr>
            <w:tcW w:w="1224" w:type="dxa"/>
          </w:tcPr>
          <w:p w14:paraId="69995337" w14:textId="77777777" w:rsidR="00C404A5" w:rsidRDefault="00C404A5" w:rsidP="00F2631B"/>
        </w:tc>
      </w:tr>
      <w:tr w:rsidR="00EB0C86" w14:paraId="443CF4E8" w14:textId="77777777" w:rsidTr="00376A9F">
        <w:tc>
          <w:tcPr>
            <w:tcW w:w="2972" w:type="dxa"/>
          </w:tcPr>
          <w:p w14:paraId="1F3EA08E" w14:textId="77777777" w:rsidR="00EB0C86" w:rsidRDefault="00EB0C86" w:rsidP="00F2631B">
            <w:r>
              <w:t>Part A exam resit if required</w:t>
            </w:r>
          </w:p>
        </w:tc>
        <w:tc>
          <w:tcPr>
            <w:tcW w:w="1134" w:type="dxa"/>
          </w:tcPr>
          <w:p w14:paraId="40A23B95" w14:textId="77777777" w:rsidR="00EB0C86" w:rsidRDefault="00EB0C86" w:rsidP="00F2631B">
            <w:r>
              <w:t>2</w:t>
            </w:r>
          </w:p>
        </w:tc>
        <w:tc>
          <w:tcPr>
            <w:tcW w:w="2126" w:type="dxa"/>
          </w:tcPr>
          <w:p w14:paraId="2AD48E5C" w14:textId="77777777" w:rsidR="00EB0C86" w:rsidRPr="006537F4" w:rsidRDefault="00EB0C86" w:rsidP="006537F4"/>
        </w:tc>
        <w:tc>
          <w:tcPr>
            <w:tcW w:w="1560" w:type="dxa"/>
          </w:tcPr>
          <w:p w14:paraId="376620FC" w14:textId="77777777" w:rsidR="00EB0C86" w:rsidRDefault="00EB0C86" w:rsidP="00F2631B"/>
        </w:tc>
        <w:tc>
          <w:tcPr>
            <w:tcW w:w="1224" w:type="dxa"/>
          </w:tcPr>
          <w:p w14:paraId="640C3AE9" w14:textId="77777777" w:rsidR="00EB0C86" w:rsidRDefault="00EB0C86" w:rsidP="00F2631B"/>
        </w:tc>
      </w:tr>
      <w:tr w:rsidR="00C404A5" w14:paraId="38A9C945" w14:textId="77777777" w:rsidTr="00376A9F">
        <w:tc>
          <w:tcPr>
            <w:tcW w:w="2972" w:type="dxa"/>
          </w:tcPr>
          <w:p w14:paraId="718C3036" w14:textId="77777777" w:rsidR="00C404A5" w:rsidRDefault="00C404A5" w:rsidP="000F6A28">
            <w:r>
              <w:t xml:space="preserve">Part A </w:t>
            </w:r>
            <w:r w:rsidR="000F6A28">
              <w:t>private study leave</w:t>
            </w:r>
          </w:p>
        </w:tc>
        <w:tc>
          <w:tcPr>
            <w:tcW w:w="1134" w:type="dxa"/>
          </w:tcPr>
          <w:p w14:paraId="2A226FD8" w14:textId="77777777" w:rsidR="00C404A5" w:rsidRDefault="00C404A5" w:rsidP="00F2631B">
            <w:r>
              <w:t>5</w:t>
            </w:r>
          </w:p>
        </w:tc>
        <w:tc>
          <w:tcPr>
            <w:tcW w:w="2126" w:type="dxa"/>
          </w:tcPr>
          <w:p w14:paraId="06297E6D" w14:textId="77777777" w:rsidR="00C404A5" w:rsidRDefault="00C404A5" w:rsidP="00F2631B"/>
        </w:tc>
        <w:tc>
          <w:tcPr>
            <w:tcW w:w="1560" w:type="dxa"/>
          </w:tcPr>
          <w:p w14:paraId="00E3BD9F" w14:textId="77777777" w:rsidR="00C404A5" w:rsidRDefault="00C404A5" w:rsidP="00F2631B"/>
        </w:tc>
        <w:tc>
          <w:tcPr>
            <w:tcW w:w="1224" w:type="dxa"/>
          </w:tcPr>
          <w:p w14:paraId="3BEE1BB5" w14:textId="77777777" w:rsidR="00C404A5" w:rsidRDefault="00C404A5" w:rsidP="00F2631B"/>
        </w:tc>
      </w:tr>
      <w:tr w:rsidR="005227EA" w14:paraId="1733DD2B" w14:textId="77777777" w:rsidTr="00376A9F">
        <w:tc>
          <w:tcPr>
            <w:tcW w:w="2972" w:type="dxa"/>
          </w:tcPr>
          <w:p w14:paraId="649B2B30" w14:textId="77777777" w:rsidR="005227EA" w:rsidRDefault="000F6A28" w:rsidP="000F6A28">
            <w:r>
              <w:t>External course or p</w:t>
            </w:r>
            <w:r w:rsidR="005227EA">
              <w:t>resent work at external conference</w:t>
            </w:r>
          </w:p>
        </w:tc>
        <w:tc>
          <w:tcPr>
            <w:tcW w:w="1134" w:type="dxa"/>
          </w:tcPr>
          <w:p w14:paraId="2FD4C973" w14:textId="77777777" w:rsidR="005227EA" w:rsidRDefault="005227EA" w:rsidP="00F2631B">
            <w:r>
              <w:t>2</w:t>
            </w:r>
          </w:p>
        </w:tc>
        <w:tc>
          <w:tcPr>
            <w:tcW w:w="2126" w:type="dxa"/>
          </w:tcPr>
          <w:p w14:paraId="114101AB" w14:textId="77777777" w:rsidR="005227EA" w:rsidRDefault="00FC7377" w:rsidP="00F2631B">
            <w:r w:rsidRPr="00FC7377">
              <w:t>Travel &amp; subsistence</w:t>
            </w:r>
          </w:p>
        </w:tc>
        <w:tc>
          <w:tcPr>
            <w:tcW w:w="1560" w:type="dxa"/>
          </w:tcPr>
          <w:p w14:paraId="05E9BC24" w14:textId="77777777" w:rsidR="005227EA" w:rsidRDefault="00FC7377" w:rsidP="00F2631B">
            <w:r w:rsidRPr="006537F4">
              <w:t>Travel @ PTR</w:t>
            </w:r>
          </w:p>
        </w:tc>
        <w:tc>
          <w:tcPr>
            <w:tcW w:w="1224" w:type="dxa"/>
          </w:tcPr>
          <w:p w14:paraId="72E35B56" w14:textId="77777777" w:rsidR="005227EA" w:rsidRDefault="005227EA" w:rsidP="00F2631B"/>
        </w:tc>
      </w:tr>
      <w:tr w:rsidR="00C404A5" w14:paraId="2F7D6C6C" w14:textId="77777777" w:rsidTr="00376A9F">
        <w:tc>
          <w:tcPr>
            <w:tcW w:w="2972" w:type="dxa"/>
          </w:tcPr>
          <w:p w14:paraId="3BB875E4" w14:textId="77777777" w:rsidR="00C404A5" w:rsidRDefault="00C404A5" w:rsidP="00F2631B">
            <w:r>
              <w:t>PHREE days</w:t>
            </w:r>
          </w:p>
        </w:tc>
        <w:tc>
          <w:tcPr>
            <w:tcW w:w="1134" w:type="dxa"/>
          </w:tcPr>
          <w:p w14:paraId="2E8F794E" w14:textId="77777777" w:rsidR="00C404A5" w:rsidRDefault="00C404A5" w:rsidP="00F2631B">
            <w:r>
              <w:t>6</w:t>
            </w:r>
          </w:p>
        </w:tc>
        <w:tc>
          <w:tcPr>
            <w:tcW w:w="2126" w:type="dxa"/>
          </w:tcPr>
          <w:p w14:paraId="512D7822" w14:textId="77777777" w:rsidR="00C404A5" w:rsidRDefault="00C404A5" w:rsidP="00F2631B"/>
        </w:tc>
        <w:tc>
          <w:tcPr>
            <w:tcW w:w="1560" w:type="dxa"/>
          </w:tcPr>
          <w:p w14:paraId="58667F2D" w14:textId="77777777" w:rsidR="00C404A5" w:rsidRDefault="00C404A5" w:rsidP="00F2631B"/>
        </w:tc>
        <w:tc>
          <w:tcPr>
            <w:tcW w:w="1224" w:type="dxa"/>
          </w:tcPr>
          <w:p w14:paraId="6F29BE7B" w14:textId="77777777" w:rsidR="00C404A5" w:rsidRDefault="00C404A5" w:rsidP="00F2631B"/>
        </w:tc>
      </w:tr>
      <w:tr w:rsidR="00357525" w:rsidRPr="0084633F" w14:paraId="1F37372E" w14:textId="77777777" w:rsidTr="00376A9F">
        <w:tc>
          <w:tcPr>
            <w:tcW w:w="2972" w:type="dxa"/>
          </w:tcPr>
          <w:p w14:paraId="79B528E6" w14:textId="77777777" w:rsidR="00357525" w:rsidRPr="0084633F" w:rsidRDefault="00C404A5" w:rsidP="00F2631B">
            <w:pPr>
              <w:rPr>
                <w:b/>
              </w:rPr>
            </w:pPr>
            <w:r w:rsidRPr="0084633F">
              <w:rPr>
                <w:b/>
              </w:rPr>
              <w:t>Total</w:t>
            </w:r>
          </w:p>
        </w:tc>
        <w:tc>
          <w:tcPr>
            <w:tcW w:w="1134" w:type="dxa"/>
          </w:tcPr>
          <w:p w14:paraId="35EEEC34" w14:textId="77777777" w:rsidR="00357525" w:rsidRPr="0084633F" w:rsidRDefault="003B11DC" w:rsidP="00F2631B">
            <w:pPr>
              <w:rPr>
                <w:b/>
              </w:rPr>
            </w:pPr>
            <w:r w:rsidRPr="0084633F">
              <w:rPr>
                <w:b/>
              </w:rPr>
              <w:t>30</w:t>
            </w:r>
          </w:p>
        </w:tc>
        <w:tc>
          <w:tcPr>
            <w:tcW w:w="2126" w:type="dxa"/>
          </w:tcPr>
          <w:p w14:paraId="29E8490E" w14:textId="77777777" w:rsidR="00357525" w:rsidRPr="0084633F" w:rsidRDefault="00357525" w:rsidP="00F2631B">
            <w:pPr>
              <w:rPr>
                <w:b/>
              </w:rPr>
            </w:pPr>
          </w:p>
        </w:tc>
        <w:tc>
          <w:tcPr>
            <w:tcW w:w="1560" w:type="dxa"/>
          </w:tcPr>
          <w:p w14:paraId="4F476079" w14:textId="77777777" w:rsidR="00357525" w:rsidRPr="0084633F" w:rsidRDefault="00357525" w:rsidP="00F2631B">
            <w:pPr>
              <w:rPr>
                <w:b/>
              </w:rPr>
            </w:pPr>
          </w:p>
        </w:tc>
        <w:tc>
          <w:tcPr>
            <w:tcW w:w="1224" w:type="dxa"/>
          </w:tcPr>
          <w:p w14:paraId="004CD941" w14:textId="77777777" w:rsidR="00357525" w:rsidRPr="0084633F" w:rsidRDefault="00357525" w:rsidP="00F2631B">
            <w:pPr>
              <w:rPr>
                <w:b/>
              </w:rPr>
            </w:pPr>
          </w:p>
        </w:tc>
      </w:tr>
      <w:tr w:rsidR="00357525" w:rsidRPr="00FC042F" w14:paraId="2C664E14" w14:textId="77777777" w:rsidTr="00314B4A">
        <w:tc>
          <w:tcPr>
            <w:tcW w:w="9016" w:type="dxa"/>
            <w:gridSpan w:val="5"/>
          </w:tcPr>
          <w:p w14:paraId="244CABC4" w14:textId="1DE0F276" w:rsidR="00357525" w:rsidRPr="00FC042F" w:rsidRDefault="00357525" w:rsidP="00F2631B">
            <w:pPr>
              <w:rPr>
                <w:b/>
              </w:rPr>
            </w:pPr>
            <w:r w:rsidRPr="00FC042F">
              <w:rPr>
                <w:b/>
              </w:rPr>
              <w:t>ST3</w:t>
            </w:r>
            <w:r w:rsidR="00262C8C">
              <w:rPr>
                <w:b/>
              </w:rPr>
              <w:t xml:space="preserve"> (max 30 days)</w:t>
            </w:r>
          </w:p>
        </w:tc>
      </w:tr>
      <w:tr w:rsidR="006A0BDF" w14:paraId="3949BCC7" w14:textId="77777777" w:rsidTr="00376A9F">
        <w:tc>
          <w:tcPr>
            <w:tcW w:w="2972" w:type="dxa"/>
          </w:tcPr>
          <w:p w14:paraId="6BCE20DE" w14:textId="77777777" w:rsidR="006A0BDF" w:rsidRDefault="0099515D" w:rsidP="00F2631B">
            <w:r>
              <w:t>OSPHE familiarisation course</w:t>
            </w:r>
          </w:p>
        </w:tc>
        <w:tc>
          <w:tcPr>
            <w:tcW w:w="1134" w:type="dxa"/>
          </w:tcPr>
          <w:p w14:paraId="5DCFC90D" w14:textId="77777777" w:rsidR="006A0BDF" w:rsidRDefault="0099515D" w:rsidP="00F2631B">
            <w:r>
              <w:t>1</w:t>
            </w:r>
          </w:p>
        </w:tc>
        <w:tc>
          <w:tcPr>
            <w:tcW w:w="2126" w:type="dxa"/>
          </w:tcPr>
          <w:p w14:paraId="0760E0DA" w14:textId="77777777" w:rsidR="006A0BDF" w:rsidRDefault="006A0BDF" w:rsidP="00F2631B"/>
        </w:tc>
        <w:tc>
          <w:tcPr>
            <w:tcW w:w="1560" w:type="dxa"/>
          </w:tcPr>
          <w:p w14:paraId="2A9EB89A" w14:textId="77777777" w:rsidR="006A0BDF" w:rsidRDefault="0099515D" w:rsidP="00F2631B">
            <w:r w:rsidRPr="0099515D">
              <w:t>Travel @ PTR</w:t>
            </w:r>
          </w:p>
        </w:tc>
        <w:tc>
          <w:tcPr>
            <w:tcW w:w="1224" w:type="dxa"/>
          </w:tcPr>
          <w:p w14:paraId="261CC8A2" w14:textId="77777777" w:rsidR="006A0BDF" w:rsidRDefault="0099515D" w:rsidP="00F2631B">
            <w:r>
              <w:t>£50</w:t>
            </w:r>
          </w:p>
        </w:tc>
      </w:tr>
      <w:tr w:rsidR="0099515D" w14:paraId="036F82DE" w14:textId="77777777" w:rsidTr="00376A9F">
        <w:tc>
          <w:tcPr>
            <w:tcW w:w="2972" w:type="dxa"/>
          </w:tcPr>
          <w:p w14:paraId="5CDBF489" w14:textId="77777777" w:rsidR="0099515D" w:rsidRDefault="00376A9F" w:rsidP="00F2631B">
            <w:r>
              <w:t xml:space="preserve">1:1 </w:t>
            </w:r>
            <w:r w:rsidR="0099515D">
              <w:t>OSPHE practice</w:t>
            </w:r>
          </w:p>
        </w:tc>
        <w:tc>
          <w:tcPr>
            <w:tcW w:w="1134" w:type="dxa"/>
          </w:tcPr>
          <w:p w14:paraId="7D41083A" w14:textId="77777777" w:rsidR="0099515D" w:rsidRDefault="0099515D" w:rsidP="00F2631B">
            <w:r>
              <w:t>3 (6x0.5)</w:t>
            </w:r>
          </w:p>
        </w:tc>
        <w:tc>
          <w:tcPr>
            <w:tcW w:w="2126" w:type="dxa"/>
          </w:tcPr>
          <w:p w14:paraId="42E59ED1" w14:textId="77777777" w:rsidR="0099515D" w:rsidRDefault="0099515D" w:rsidP="00F2631B"/>
        </w:tc>
        <w:tc>
          <w:tcPr>
            <w:tcW w:w="1560" w:type="dxa"/>
          </w:tcPr>
          <w:p w14:paraId="7E0A9A9A" w14:textId="77777777" w:rsidR="0099515D" w:rsidRPr="0099515D" w:rsidRDefault="00376A9F" w:rsidP="00F2631B">
            <w:r w:rsidRPr="00376A9F">
              <w:t>Travel @ PTR</w:t>
            </w:r>
          </w:p>
        </w:tc>
        <w:tc>
          <w:tcPr>
            <w:tcW w:w="1224" w:type="dxa"/>
          </w:tcPr>
          <w:p w14:paraId="77DA0E9D" w14:textId="77777777" w:rsidR="0099515D" w:rsidRDefault="00376A9F" w:rsidP="00F2631B">
            <w:r>
              <w:t>£1000</w:t>
            </w:r>
          </w:p>
        </w:tc>
      </w:tr>
      <w:tr w:rsidR="0099515D" w14:paraId="0A09FFBE" w14:textId="77777777" w:rsidTr="00376A9F">
        <w:tc>
          <w:tcPr>
            <w:tcW w:w="2972" w:type="dxa"/>
          </w:tcPr>
          <w:p w14:paraId="67FC2C6D" w14:textId="77777777" w:rsidR="0099515D" w:rsidRDefault="00376A9F" w:rsidP="00F2631B">
            <w:r>
              <w:t>OSPHE exam</w:t>
            </w:r>
          </w:p>
        </w:tc>
        <w:tc>
          <w:tcPr>
            <w:tcW w:w="1134" w:type="dxa"/>
          </w:tcPr>
          <w:p w14:paraId="50415120" w14:textId="77777777" w:rsidR="0099515D" w:rsidRDefault="00376A9F" w:rsidP="00F2631B">
            <w:r>
              <w:t>1</w:t>
            </w:r>
          </w:p>
        </w:tc>
        <w:tc>
          <w:tcPr>
            <w:tcW w:w="2126" w:type="dxa"/>
          </w:tcPr>
          <w:p w14:paraId="74D2184E" w14:textId="77777777" w:rsidR="0099515D" w:rsidRDefault="00376A9F" w:rsidP="00F2631B">
            <w:r w:rsidRPr="00376A9F">
              <w:t>Travel &amp; subsistence</w:t>
            </w:r>
          </w:p>
        </w:tc>
        <w:tc>
          <w:tcPr>
            <w:tcW w:w="1560" w:type="dxa"/>
          </w:tcPr>
          <w:p w14:paraId="3AFB66D1" w14:textId="77777777" w:rsidR="0099515D" w:rsidRPr="0099515D" w:rsidRDefault="0099515D" w:rsidP="00F2631B"/>
        </w:tc>
        <w:tc>
          <w:tcPr>
            <w:tcW w:w="1224" w:type="dxa"/>
          </w:tcPr>
          <w:p w14:paraId="59A42AC7" w14:textId="77777777" w:rsidR="0099515D" w:rsidRDefault="0099515D" w:rsidP="00F2631B"/>
        </w:tc>
      </w:tr>
      <w:tr w:rsidR="00376A9F" w14:paraId="03FD4DF1" w14:textId="77777777" w:rsidTr="00376A9F">
        <w:tc>
          <w:tcPr>
            <w:tcW w:w="2972" w:type="dxa"/>
          </w:tcPr>
          <w:p w14:paraId="3CA4E1A2" w14:textId="77777777" w:rsidR="00376A9F" w:rsidRDefault="00376A9F" w:rsidP="00F2631B">
            <w:r>
              <w:t>PHREE days</w:t>
            </w:r>
          </w:p>
        </w:tc>
        <w:tc>
          <w:tcPr>
            <w:tcW w:w="1134" w:type="dxa"/>
          </w:tcPr>
          <w:p w14:paraId="1C70D3E1" w14:textId="77777777" w:rsidR="00376A9F" w:rsidRDefault="00376A9F" w:rsidP="00F2631B">
            <w:r>
              <w:t>6</w:t>
            </w:r>
          </w:p>
        </w:tc>
        <w:tc>
          <w:tcPr>
            <w:tcW w:w="2126" w:type="dxa"/>
          </w:tcPr>
          <w:p w14:paraId="2F7D11EA" w14:textId="77777777" w:rsidR="00376A9F" w:rsidRDefault="00376A9F" w:rsidP="00F2631B"/>
        </w:tc>
        <w:tc>
          <w:tcPr>
            <w:tcW w:w="1560" w:type="dxa"/>
          </w:tcPr>
          <w:p w14:paraId="6C251A2B" w14:textId="77777777" w:rsidR="00376A9F" w:rsidRPr="0099515D" w:rsidRDefault="00376A9F" w:rsidP="00F2631B">
            <w:r w:rsidRPr="00376A9F">
              <w:t>Travel @ PTR</w:t>
            </w:r>
          </w:p>
        </w:tc>
        <w:tc>
          <w:tcPr>
            <w:tcW w:w="1224" w:type="dxa"/>
          </w:tcPr>
          <w:p w14:paraId="6669CD7E" w14:textId="77777777" w:rsidR="00376A9F" w:rsidRDefault="00376A9F" w:rsidP="00F2631B"/>
        </w:tc>
      </w:tr>
      <w:tr w:rsidR="00376A9F" w:rsidRPr="00376A9F" w14:paraId="3D436FC9" w14:textId="77777777" w:rsidTr="00376A9F">
        <w:tc>
          <w:tcPr>
            <w:tcW w:w="2972" w:type="dxa"/>
          </w:tcPr>
          <w:p w14:paraId="27A3D0FF" w14:textId="77777777" w:rsidR="00376A9F" w:rsidRPr="00376A9F" w:rsidRDefault="00376A9F" w:rsidP="00F2631B">
            <w:pPr>
              <w:rPr>
                <w:b/>
              </w:rPr>
            </w:pPr>
            <w:r w:rsidRPr="00376A9F">
              <w:rPr>
                <w:b/>
              </w:rPr>
              <w:t>Total</w:t>
            </w:r>
          </w:p>
        </w:tc>
        <w:tc>
          <w:tcPr>
            <w:tcW w:w="1134" w:type="dxa"/>
          </w:tcPr>
          <w:p w14:paraId="52959430" w14:textId="77777777" w:rsidR="00376A9F" w:rsidRPr="00376A9F" w:rsidRDefault="00376A9F" w:rsidP="00F2631B">
            <w:pPr>
              <w:rPr>
                <w:b/>
              </w:rPr>
            </w:pPr>
            <w:r w:rsidRPr="00376A9F">
              <w:rPr>
                <w:b/>
              </w:rPr>
              <w:t>11</w:t>
            </w:r>
          </w:p>
        </w:tc>
        <w:tc>
          <w:tcPr>
            <w:tcW w:w="2126" w:type="dxa"/>
          </w:tcPr>
          <w:p w14:paraId="4F62CF33" w14:textId="77777777" w:rsidR="00376A9F" w:rsidRPr="00376A9F" w:rsidRDefault="00376A9F" w:rsidP="00F2631B">
            <w:pPr>
              <w:rPr>
                <w:b/>
              </w:rPr>
            </w:pPr>
          </w:p>
        </w:tc>
        <w:tc>
          <w:tcPr>
            <w:tcW w:w="1560" w:type="dxa"/>
          </w:tcPr>
          <w:p w14:paraId="1CB3C899" w14:textId="77777777" w:rsidR="00376A9F" w:rsidRPr="00376A9F" w:rsidRDefault="00376A9F" w:rsidP="00F2631B">
            <w:pPr>
              <w:rPr>
                <w:b/>
              </w:rPr>
            </w:pPr>
          </w:p>
        </w:tc>
        <w:tc>
          <w:tcPr>
            <w:tcW w:w="1224" w:type="dxa"/>
          </w:tcPr>
          <w:p w14:paraId="38234CBB" w14:textId="77777777" w:rsidR="00376A9F" w:rsidRPr="00376A9F" w:rsidRDefault="00376A9F" w:rsidP="00F2631B">
            <w:pPr>
              <w:rPr>
                <w:b/>
              </w:rPr>
            </w:pPr>
          </w:p>
        </w:tc>
      </w:tr>
      <w:tr w:rsidR="00357525" w:rsidRPr="00FC042F" w14:paraId="0CE9BAD5" w14:textId="77777777" w:rsidTr="00314B4A">
        <w:tc>
          <w:tcPr>
            <w:tcW w:w="9016" w:type="dxa"/>
            <w:gridSpan w:val="5"/>
          </w:tcPr>
          <w:p w14:paraId="5F24414B" w14:textId="307C1E6D" w:rsidR="00357525" w:rsidRPr="00FC042F" w:rsidRDefault="00357525" w:rsidP="00F2631B">
            <w:pPr>
              <w:rPr>
                <w:b/>
              </w:rPr>
            </w:pPr>
            <w:r w:rsidRPr="00FC042F">
              <w:rPr>
                <w:b/>
              </w:rPr>
              <w:t>ST4</w:t>
            </w:r>
            <w:r w:rsidR="00262C8C">
              <w:rPr>
                <w:b/>
              </w:rPr>
              <w:t xml:space="preserve"> (max 30 days)</w:t>
            </w:r>
          </w:p>
        </w:tc>
      </w:tr>
      <w:tr w:rsidR="006A0BDF" w14:paraId="30FD5C80" w14:textId="77777777" w:rsidTr="00376A9F">
        <w:tc>
          <w:tcPr>
            <w:tcW w:w="2972" w:type="dxa"/>
          </w:tcPr>
          <w:p w14:paraId="7DB13605" w14:textId="77777777" w:rsidR="006A0BDF" w:rsidRDefault="00376A9F" w:rsidP="00F2631B">
            <w:r>
              <w:t>PHREE days</w:t>
            </w:r>
          </w:p>
        </w:tc>
        <w:tc>
          <w:tcPr>
            <w:tcW w:w="1134" w:type="dxa"/>
          </w:tcPr>
          <w:p w14:paraId="12726A4F" w14:textId="77777777" w:rsidR="006A0BDF" w:rsidRDefault="00376A9F" w:rsidP="00F2631B">
            <w:r>
              <w:t>6</w:t>
            </w:r>
          </w:p>
        </w:tc>
        <w:tc>
          <w:tcPr>
            <w:tcW w:w="2126" w:type="dxa"/>
          </w:tcPr>
          <w:p w14:paraId="4A65225A" w14:textId="77777777" w:rsidR="006A0BDF" w:rsidRDefault="006A0BDF" w:rsidP="00F2631B"/>
        </w:tc>
        <w:tc>
          <w:tcPr>
            <w:tcW w:w="1560" w:type="dxa"/>
          </w:tcPr>
          <w:p w14:paraId="24E3C5BE" w14:textId="77777777" w:rsidR="006A0BDF" w:rsidRDefault="00376A9F" w:rsidP="00F2631B">
            <w:r w:rsidRPr="00376A9F">
              <w:t>Travel @ PTR</w:t>
            </w:r>
          </w:p>
        </w:tc>
        <w:tc>
          <w:tcPr>
            <w:tcW w:w="1224" w:type="dxa"/>
          </w:tcPr>
          <w:p w14:paraId="5125C4D7" w14:textId="77777777" w:rsidR="006A0BDF" w:rsidRDefault="006A0BDF" w:rsidP="00F2631B"/>
        </w:tc>
      </w:tr>
      <w:tr w:rsidR="00376A9F" w:rsidRPr="00376A9F" w14:paraId="61F467CD" w14:textId="77777777" w:rsidTr="00376A9F">
        <w:tc>
          <w:tcPr>
            <w:tcW w:w="2972" w:type="dxa"/>
          </w:tcPr>
          <w:p w14:paraId="02D25FAA" w14:textId="77777777" w:rsidR="00376A9F" w:rsidRPr="00376A9F" w:rsidRDefault="00376A9F" w:rsidP="00F2631B">
            <w:pPr>
              <w:rPr>
                <w:b/>
              </w:rPr>
            </w:pPr>
            <w:r w:rsidRPr="00376A9F">
              <w:rPr>
                <w:b/>
              </w:rPr>
              <w:t>Total</w:t>
            </w:r>
          </w:p>
        </w:tc>
        <w:tc>
          <w:tcPr>
            <w:tcW w:w="1134" w:type="dxa"/>
          </w:tcPr>
          <w:p w14:paraId="5BACA2F8" w14:textId="77777777" w:rsidR="00376A9F" w:rsidRPr="00376A9F" w:rsidRDefault="00376A9F" w:rsidP="00F2631B">
            <w:pPr>
              <w:rPr>
                <w:b/>
              </w:rPr>
            </w:pPr>
            <w:r w:rsidRPr="00376A9F">
              <w:rPr>
                <w:b/>
              </w:rPr>
              <w:t>6</w:t>
            </w:r>
          </w:p>
        </w:tc>
        <w:tc>
          <w:tcPr>
            <w:tcW w:w="2126" w:type="dxa"/>
          </w:tcPr>
          <w:p w14:paraId="08F4F65E" w14:textId="77777777" w:rsidR="00376A9F" w:rsidRPr="00376A9F" w:rsidRDefault="00376A9F" w:rsidP="00F2631B">
            <w:pPr>
              <w:rPr>
                <w:b/>
              </w:rPr>
            </w:pPr>
          </w:p>
        </w:tc>
        <w:tc>
          <w:tcPr>
            <w:tcW w:w="1560" w:type="dxa"/>
          </w:tcPr>
          <w:p w14:paraId="389C1857" w14:textId="77777777" w:rsidR="00376A9F" w:rsidRPr="00376A9F" w:rsidRDefault="00376A9F" w:rsidP="00F2631B">
            <w:pPr>
              <w:rPr>
                <w:b/>
              </w:rPr>
            </w:pPr>
          </w:p>
        </w:tc>
        <w:tc>
          <w:tcPr>
            <w:tcW w:w="1224" w:type="dxa"/>
          </w:tcPr>
          <w:p w14:paraId="575E912E" w14:textId="77777777" w:rsidR="00376A9F" w:rsidRPr="00376A9F" w:rsidRDefault="00376A9F" w:rsidP="00F2631B">
            <w:pPr>
              <w:rPr>
                <w:b/>
              </w:rPr>
            </w:pPr>
          </w:p>
        </w:tc>
      </w:tr>
      <w:tr w:rsidR="00357525" w:rsidRPr="00FC042F" w14:paraId="2796690D" w14:textId="77777777" w:rsidTr="00314B4A">
        <w:tc>
          <w:tcPr>
            <w:tcW w:w="9016" w:type="dxa"/>
            <w:gridSpan w:val="5"/>
          </w:tcPr>
          <w:p w14:paraId="783F185C" w14:textId="6BDE28C4" w:rsidR="00357525" w:rsidRPr="00FC042F" w:rsidRDefault="00357525" w:rsidP="00F2631B">
            <w:pPr>
              <w:rPr>
                <w:b/>
              </w:rPr>
            </w:pPr>
            <w:r w:rsidRPr="00FC042F">
              <w:rPr>
                <w:b/>
              </w:rPr>
              <w:t>ST5</w:t>
            </w:r>
            <w:r w:rsidR="00C3711B">
              <w:rPr>
                <w:b/>
              </w:rPr>
              <w:t xml:space="preserve"> and over</w:t>
            </w:r>
            <w:r w:rsidR="00262C8C">
              <w:rPr>
                <w:b/>
              </w:rPr>
              <w:t xml:space="preserve"> (max 30 days)</w:t>
            </w:r>
          </w:p>
        </w:tc>
      </w:tr>
      <w:tr w:rsidR="00615A70" w14:paraId="40C7C11E" w14:textId="77777777" w:rsidTr="00376A9F">
        <w:tc>
          <w:tcPr>
            <w:tcW w:w="2972" w:type="dxa"/>
          </w:tcPr>
          <w:p w14:paraId="5048D34A" w14:textId="77777777" w:rsidR="00615A70" w:rsidRDefault="00376A9F" w:rsidP="00F2631B">
            <w:r>
              <w:t>Consultant preparation</w:t>
            </w:r>
          </w:p>
        </w:tc>
        <w:tc>
          <w:tcPr>
            <w:tcW w:w="1134" w:type="dxa"/>
          </w:tcPr>
          <w:p w14:paraId="14DEA73C" w14:textId="77777777" w:rsidR="00615A70" w:rsidRDefault="00376A9F" w:rsidP="00F2631B">
            <w:r>
              <w:t>0.5</w:t>
            </w:r>
          </w:p>
        </w:tc>
        <w:tc>
          <w:tcPr>
            <w:tcW w:w="2126" w:type="dxa"/>
          </w:tcPr>
          <w:p w14:paraId="3CC26B1C" w14:textId="77777777" w:rsidR="00615A70" w:rsidRDefault="00615A70" w:rsidP="00F2631B"/>
        </w:tc>
        <w:tc>
          <w:tcPr>
            <w:tcW w:w="1560" w:type="dxa"/>
          </w:tcPr>
          <w:p w14:paraId="0993E180" w14:textId="77777777" w:rsidR="00615A70" w:rsidRDefault="00376A9F" w:rsidP="00F2631B">
            <w:r w:rsidRPr="00376A9F">
              <w:t>Travel @ PTR</w:t>
            </w:r>
          </w:p>
        </w:tc>
        <w:tc>
          <w:tcPr>
            <w:tcW w:w="1224" w:type="dxa"/>
          </w:tcPr>
          <w:p w14:paraId="093E9431" w14:textId="77777777" w:rsidR="00615A70" w:rsidRDefault="00376A9F" w:rsidP="00F2631B">
            <w:r>
              <w:t>£250</w:t>
            </w:r>
          </w:p>
        </w:tc>
      </w:tr>
      <w:tr w:rsidR="00376A9F" w14:paraId="3D56D8BB" w14:textId="77777777" w:rsidTr="00376A9F">
        <w:tc>
          <w:tcPr>
            <w:tcW w:w="2972" w:type="dxa"/>
          </w:tcPr>
          <w:p w14:paraId="4A4860E8" w14:textId="77777777" w:rsidR="00376A9F" w:rsidRDefault="00376A9F" w:rsidP="00F2631B">
            <w:r>
              <w:t>PHREE days</w:t>
            </w:r>
          </w:p>
        </w:tc>
        <w:tc>
          <w:tcPr>
            <w:tcW w:w="1134" w:type="dxa"/>
          </w:tcPr>
          <w:p w14:paraId="55BA8949" w14:textId="77777777" w:rsidR="00376A9F" w:rsidRDefault="00376A9F" w:rsidP="00F2631B">
            <w:r>
              <w:t>6</w:t>
            </w:r>
          </w:p>
        </w:tc>
        <w:tc>
          <w:tcPr>
            <w:tcW w:w="2126" w:type="dxa"/>
          </w:tcPr>
          <w:p w14:paraId="703189A9" w14:textId="77777777" w:rsidR="00376A9F" w:rsidRDefault="00376A9F" w:rsidP="00F2631B"/>
        </w:tc>
        <w:tc>
          <w:tcPr>
            <w:tcW w:w="1560" w:type="dxa"/>
          </w:tcPr>
          <w:p w14:paraId="377B17EC" w14:textId="77777777" w:rsidR="00376A9F" w:rsidRPr="00376A9F" w:rsidRDefault="00376A9F" w:rsidP="00F2631B">
            <w:r w:rsidRPr="00376A9F">
              <w:t>Travel @ PTR</w:t>
            </w:r>
          </w:p>
        </w:tc>
        <w:tc>
          <w:tcPr>
            <w:tcW w:w="1224" w:type="dxa"/>
          </w:tcPr>
          <w:p w14:paraId="08519892" w14:textId="77777777" w:rsidR="00376A9F" w:rsidRDefault="00376A9F" w:rsidP="00F2631B"/>
        </w:tc>
      </w:tr>
      <w:tr w:rsidR="00615A70" w:rsidRPr="00376A9F" w14:paraId="6C890433" w14:textId="77777777" w:rsidTr="00376A9F">
        <w:tc>
          <w:tcPr>
            <w:tcW w:w="2972" w:type="dxa"/>
          </w:tcPr>
          <w:p w14:paraId="47C5408B" w14:textId="77777777" w:rsidR="00615A70" w:rsidRPr="00376A9F" w:rsidRDefault="00376A9F" w:rsidP="00F2631B">
            <w:pPr>
              <w:rPr>
                <w:b/>
              </w:rPr>
            </w:pPr>
            <w:r w:rsidRPr="00376A9F">
              <w:rPr>
                <w:b/>
              </w:rPr>
              <w:t>Total</w:t>
            </w:r>
          </w:p>
        </w:tc>
        <w:tc>
          <w:tcPr>
            <w:tcW w:w="1134" w:type="dxa"/>
          </w:tcPr>
          <w:p w14:paraId="754A00B1" w14:textId="77777777" w:rsidR="00615A70" w:rsidRPr="00376A9F" w:rsidRDefault="00376A9F" w:rsidP="00F2631B">
            <w:pPr>
              <w:rPr>
                <w:b/>
              </w:rPr>
            </w:pPr>
            <w:r w:rsidRPr="00376A9F">
              <w:rPr>
                <w:b/>
              </w:rPr>
              <w:t>6.5</w:t>
            </w:r>
          </w:p>
        </w:tc>
        <w:tc>
          <w:tcPr>
            <w:tcW w:w="2126" w:type="dxa"/>
          </w:tcPr>
          <w:p w14:paraId="33096B3B" w14:textId="77777777" w:rsidR="00615A70" w:rsidRPr="00376A9F" w:rsidRDefault="00615A70" w:rsidP="00F2631B">
            <w:pPr>
              <w:rPr>
                <w:b/>
              </w:rPr>
            </w:pPr>
          </w:p>
        </w:tc>
        <w:tc>
          <w:tcPr>
            <w:tcW w:w="1560" w:type="dxa"/>
          </w:tcPr>
          <w:p w14:paraId="0B6383B0" w14:textId="77777777" w:rsidR="00615A70" w:rsidRPr="00376A9F" w:rsidRDefault="00615A70" w:rsidP="00F2631B">
            <w:pPr>
              <w:rPr>
                <w:b/>
              </w:rPr>
            </w:pPr>
          </w:p>
        </w:tc>
        <w:tc>
          <w:tcPr>
            <w:tcW w:w="1224" w:type="dxa"/>
          </w:tcPr>
          <w:p w14:paraId="03BFB4D5" w14:textId="77777777" w:rsidR="00615A70" w:rsidRPr="00376A9F" w:rsidRDefault="00615A70" w:rsidP="00F2631B">
            <w:pPr>
              <w:rPr>
                <w:b/>
              </w:rPr>
            </w:pPr>
          </w:p>
        </w:tc>
      </w:tr>
    </w:tbl>
    <w:p w14:paraId="5F731AE7" w14:textId="4700011B" w:rsidR="008443DF" w:rsidRDefault="008443DF" w:rsidP="00F2631B"/>
    <w:p w14:paraId="663734DC" w14:textId="23DE134B" w:rsidR="00A2383D" w:rsidRDefault="00A2383D" w:rsidP="00F2631B">
      <w:r>
        <w:t xml:space="preserve">Prof </w:t>
      </w:r>
      <w:proofErr w:type="spellStart"/>
      <w:proofErr w:type="gramStart"/>
      <w:r>
        <w:t>N.Steel</w:t>
      </w:r>
      <w:proofErr w:type="spellEnd"/>
      <w:proofErr w:type="gramEnd"/>
      <w:r>
        <w:t>, on behalf of the Public Health Specialist Training Committee, April 2019</w:t>
      </w:r>
      <w:r w:rsidR="00C01B15">
        <w:t>.</w:t>
      </w:r>
    </w:p>
    <w:sectPr w:rsidR="00A2383D" w:rsidSect="00447D40">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B9BA" w14:textId="77777777" w:rsidR="00DC71B4" w:rsidRDefault="00DC71B4" w:rsidP="005E00C2">
      <w:pPr>
        <w:spacing w:after="0" w:line="240" w:lineRule="auto"/>
      </w:pPr>
      <w:r>
        <w:separator/>
      </w:r>
    </w:p>
  </w:endnote>
  <w:endnote w:type="continuationSeparator" w:id="0">
    <w:p w14:paraId="708D51A3" w14:textId="77777777" w:rsidR="00DC71B4" w:rsidRDefault="00DC71B4" w:rsidP="005E00C2">
      <w:pPr>
        <w:spacing w:after="0" w:line="240" w:lineRule="auto"/>
      </w:pPr>
      <w:r>
        <w:continuationSeparator/>
      </w:r>
    </w:p>
  </w:endnote>
  <w:endnote w:type="continuationNotice" w:id="1">
    <w:p w14:paraId="50541D9C" w14:textId="77777777" w:rsidR="0097533F" w:rsidRDefault="00975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716377"/>
      <w:docPartObj>
        <w:docPartGallery w:val="Page Numbers (Bottom of Page)"/>
        <w:docPartUnique/>
      </w:docPartObj>
    </w:sdtPr>
    <w:sdtEndPr>
      <w:rPr>
        <w:noProof/>
      </w:rPr>
    </w:sdtEndPr>
    <w:sdtContent>
      <w:p w14:paraId="50A926FC" w14:textId="4568CB94" w:rsidR="00D17BC4" w:rsidRDefault="00D17BC4">
        <w:pPr>
          <w:pStyle w:val="Footer"/>
          <w:jc w:val="center"/>
        </w:pPr>
        <w:r>
          <w:fldChar w:fldCharType="begin"/>
        </w:r>
        <w:r>
          <w:instrText xml:space="preserve"> PAGE   \* MERGEFORMAT </w:instrText>
        </w:r>
        <w:r>
          <w:fldChar w:fldCharType="separate"/>
        </w:r>
        <w:r w:rsidR="00C01B15">
          <w:rPr>
            <w:noProof/>
          </w:rPr>
          <w:t>4</w:t>
        </w:r>
        <w:r>
          <w:rPr>
            <w:noProof/>
          </w:rPr>
          <w:fldChar w:fldCharType="end"/>
        </w:r>
      </w:p>
    </w:sdtContent>
  </w:sdt>
  <w:p w14:paraId="04498085" w14:textId="77777777" w:rsidR="005E00C2" w:rsidRDefault="005E00C2">
    <w:pPr>
      <w:pStyle w:val="Footer"/>
    </w:pPr>
  </w:p>
  <w:p w14:paraId="12D4222B" w14:textId="77777777" w:rsidR="00850117" w:rsidRDefault="008501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1E663" w14:textId="77777777" w:rsidR="00DC71B4" w:rsidRDefault="00DC71B4" w:rsidP="005E00C2">
      <w:pPr>
        <w:spacing w:after="0" w:line="240" w:lineRule="auto"/>
      </w:pPr>
      <w:r>
        <w:separator/>
      </w:r>
    </w:p>
  </w:footnote>
  <w:footnote w:type="continuationSeparator" w:id="0">
    <w:p w14:paraId="0D0E1DE9" w14:textId="77777777" w:rsidR="00DC71B4" w:rsidRDefault="00DC71B4" w:rsidP="005E00C2">
      <w:pPr>
        <w:spacing w:after="0" w:line="240" w:lineRule="auto"/>
      </w:pPr>
      <w:r>
        <w:continuationSeparator/>
      </w:r>
    </w:p>
  </w:footnote>
  <w:footnote w:type="continuationNotice" w:id="1">
    <w:p w14:paraId="01899719" w14:textId="77777777" w:rsidR="0097533F" w:rsidRDefault="00975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2212" w14:textId="0C5E6435" w:rsidR="00850117" w:rsidRDefault="006B6468">
    <w:r>
      <w:rPr>
        <w:noProof/>
      </w:rPr>
      <w:drawing>
        <wp:anchor distT="0" distB="0" distL="114300" distR="114300" simplePos="0" relativeHeight="251658240" behindDoc="1" locked="0" layoutInCell="1" allowOverlap="1" wp14:anchorId="3339458F" wp14:editId="54BC3F29">
          <wp:simplePos x="0" y="0"/>
          <wp:positionH relativeFrom="column">
            <wp:posOffset>3181350</wp:posOffset>
          </wp:positionH>
          <wp:positionV relativeFrom="paragraph">
            <wp:posOffset>-450215</wp:posOffset>
          </wp:positionV>
          <wp:extent cx="3377565" cy="920750"/>
          <wp:effectExtent l="0" t="0" r="0" b="0"/>
          <wp:wrapTight wrapText="bothSides">
            <wp:wrapPolygon edited="0">
              <wp:start x="0" y="0"/>
              <wp:lineTo x="0" y="21004"/>
              <wp:lineTo x="21442" y="21004"/>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7565" cy="920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DB5"/>
    <w:multiLevelType w:val="hybridMultilevel"/>
    <w:tmpl w:val="64A8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54ED0"/>
    <w:multiLevelType w:val="hybridMultilevel"/>
    <w:tmpl w:val="902E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F491D"/>
    <w:multiLevelType w:val="hybridMultilevel"/>
    <w:tmpl w:val="4AA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A6B79"/>
    <w:multiLevelType w:val="hybridMultilevel"/>
    <w:tmpl w:val="BC86DF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BF5FD8"/>
    <w:multiLevelType w:val="hybridMultilevel"/>
    <w:tmpl w:val="6868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062916">
    <w:abstractNumId w:val="1"/>
  </w:num>
  <w:num w:numId="2" w16cid:durableId="886799700">
    <w:abstractNumId w:val="2"/>
  </w:num>
  <w:num w:numId="3" w16cid:durableId="2077893286">
    <w:abstractNumId w:val="4"/>
  </w:num>
  <w:num w:numId="4" w16cid:durableId="590622444">
    <w:abstractNumId w:val="0"/>
  </w:num>
  <w:num w:numId="5" w16cid:durableId="321158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00"/>
    <w:rsid w:val="000048C3"/>
    <w:rsid w:val="00004C91"/>
    <w:rsid w:val="000219AD"/>
    <w:rsid w:val="00024F5B"/>
    <w:rsid w:val="00041EF0"/>
    <w:rsid w:val="00065AD4"/>
    <w:rsid w:val="00095E33"/>
    <w:rsid w:val="000A7177"/>
    <w:rsid w:val="000B6B06"/>
    <w:rsid w:val="000B718F"/>
    <w:rsid w:val="000C0B4E"/>
    <w:rsid w:val="000E476E"/>
    <w:rsid w:val="000F2406"/>
    <w:rsid w:val="000F6A28"/>
    <w:rsid w:val="00117792"/>
    <w:rsid w:val="00131CBC"/>
    <w:rsid w:val="00134885"/>
    <w:rsid w:val="0014033A"/>
    <w:rsid w:val="00151E76"/>
    <w:rsid w:val="00187286"/>
    <w:rsid w:val="001A2F53"/>
    <w:rsid w:val="001A7957"/>
    <w:rsid w:val="001B1E48"/>
    <w:rsid w:val="001B59D8"/>
    <w:rsid w:val="001B6094"/>
    <w:rsid w:val="001B6E92"/>
    <w:rsid w:val="001D7B65"/>
    <w:rsid w:val="00223900"/>
    <w:rsid w:val="00232DAC"/>
    <w:rsid w:val="00240B3F"/>
    <w:rsid w:val="00245F9A"/>
    <w:rsid w:val="00262C8C"/>
    <w:rsid w:val="0027098F"/>
    <w:rsid w:val="002C012F"/>
    <w:rsid w:val="00306163"/>
    <w:rsid w:val="00314B4A"/>
    <w:rsid w:val="00316E71"/>
    <w:rsid w:val="0032466E"/>
    <w:rsid w:val="0034125B"/>
    <w:rsid w:val="0035488A"/>
    <w:rsid w:val="00357525"/>
    <w:rsid w:val="00372C12"/>
    <w:rsid w:val="00376A9F"/>
    <w:rsid w:val="003917B0"/>
    <w:rsid w:val="003A4D8D"/>
    <w:rsid w:val="003B11DC"/>
    <w:rsid w:val="003E6AF7"/>
    <w:rsid w:val="00404E0D"/>
    <w:rsid w:val="00415A03"/>
    <w:rsid w:val="00422FFB"/>
    <w:rsid w:val="00432CE0"/>
    <w:rsid w:val="00447D40"/>
    <w:rsid w:val="00454FDF"/>
    <w:rsid w:val="004A05B2"/>
    <w:rsid w:val="004A5B5B"/>
    <w:rsid w:val="004C0204"/>
    <w:rsid w:val="004C6965"/>
    <w:rsid w:val="004D1052"/>
    <w:rsid w:val="004D1B19"/>
    <w:rsid w:val="004E61C8"/>
    <w:rsid w:val="00502B85"/>
    <w:rsid w:val="005204DE"/>
    <w:rsid w:val="005227EA"/>
    <w:rsid w:val="005233CF"/>
    <w:rsid w:val="00523BAB"/>
    <w:rsid w:val="005471DD"/>
    <w:rsid w:val="00554415"/>
    <w:rsid w:val="005767B1"/>
    <w:rsid w:val="005964D4"/>
    <w:rsid w:val="00596F14"/>
    <w:rsid w:val="005A62EC"/>
    <w:rsid w:val="005C0296"/>
    <w:rsid w:val="005C2B81"/>
    <w:rsid w:val="005C3F98"/>
    <w:rsid w:val="005C4409"/>
    <w:rsid w:val="005D0206"/>
    <w:rsid w:val="005E00C2"/>
    <w:rsid w:val="006102E1"/>
    <w:rsid w:val="00615A70"/>
    <w:rsid w:val="0061638F"/>
    <w:rsid w:val="00623839"/>
    <w:rsid w:val="006537F4"/>
    <w:rsid w:val="006576A1"/>
    <w:rsid w:val="006711E8"/>
    <w:rsid w:val="00673943"/>
    <w:rsid w:val="0068326C"/>
    <w:rsid w:val="00684A66"/>
    <w:rsid w:val="00692AE4"/>
    <w:rsid w:val="006A0BDF"/>
    <w:rsid w:val="006B6468"/>
    <w:rsid w:val="006C1323"/>
    <w:rsid w:val="006C2BDC"/>
    <w:rsid w:val="006D2BA7"/>
    <w:rsid w:val="006F057D"/>
    <w:rsid w:val="006F3391"/>
    <w:rsid w:val="00711BA3"/>
    <w:rsid w:val="00747F46"/>
    <w:rsid w:val="00755BA6"/>
    <w:rsid w:val="00773599"/>
    <w:rsid w:val="00781595"/>
    <w:rsid w:val="00782075"/>
    <w:rsid w:val="00794488"/>
    <w:rsid w:val="007D22EA"/>
    <w:rsid w:val="007D6C08"/>
    <w:rsid w:val="007F021E"/>
    <w:rsid w:val="007F2E08"/>
    <w:rsid w:val="00826D0F"/>
    <w:rsid w:val="00830550"/>
    <w:rsid w:val="008443DF"/>
    <w:rsid w:val="0084633F"/>
    <w:rsid w:val="00850117"/>
    <w:rsid w:val="008A667E"/>
    <w:rsid w:val="008E15DE"/>
    <w:rsid w:val="008E3D9D"/>
    <w:rsid w:val="00911D14"/>
    <w:rsid w:val="00912DD4"/>
    <w:rsid w:val="00930601"/>
    <w:rsid w:val="00945B2D"/>
    <w:rsid w:val="00946DB9"/>
    <w:rsid w:val="00957F07"/>
    <w:rsid w:val="0097134F"/>
    <w:rsid w:val="0097533F"/>
    <w:rsid w:val="00993540"/>
    <w:rsid w:val="0099515D"/>
    <w:rsid w:val="00995432"/>
    <w:rsid w:val="009A14BE"/>
    <w:rsid w:val="009A26AB"/>
    <w:rsid w:val="009B07E0"/>
    <w:rsid w:val="009B37C1"/>
    <w:rsid w:val="009C3BAD"/>
    <w:rsid w:val="009C4D4D"/>
    <w:rsid w:val="009D17A2"/>
    <w:rsid w:val="009D599D"/>
    <w:rsid w:val="009E490A"/>
    <w:rsid w:val="00A06F7C"/>
    <w:rsid w:val="00A2383D"/>
    <w:rsid w:val="00A400C4"/>
    <w:rsid w:val="00A971F7"/>
    <w:rsid w:val="00AA2DF0"/>
    <w:rsid w:val="00AA3D82"/>
    <w:rsid w:val="00AA55C1"/>
    <w:rsid w:val="00AB0846"/>
    <w:rsid w:val="00AC1BE0"/>
    <w:rsid w:val="00AD01BF"/>
    <w:rsid w:val="00AD07B5"/>
    <w:rsid w:val="00AD296B"/>
    <w:rsid w:val="00AD78F8"/>
    <w:rsid w:val="00B04AD7"/>
    <w:rsid w:val="00B13D3E"/>
    <w:rsid w:val="00B41073"/>
    <w:rsid w:val="00B82E87"/>
    <w:rsid w:val="00B92F8C"/>
    <w:rsid w:val="00BB5DE2"/>
    <w:rsid w:val="00BD3B9F"/>
    <w:rsid w:val="00BE6123"/>
    <w:rsid w:val="00BE6319"/>
    <w:rsid w:val="00C01B15"/>
    <w:rsid w:val="00C0525B"/>
    <w:rsid w:val="00C17E52"/>
    <w:rsid w:val="00C3711B"/>
    <w:rsid w:val="00C404A5"/>
    <w:rsid w:val="00C50318"/>
    <w:rsid w:val="00C55CE2"/>
    <w:rsid w:val="00C5608D"/>
    <w:rsid w:val="00C70C10"/>
    <w:rsid w:val="00C814AF"/>
    <w:rsid w:val="00CD072F"/>
    <w:rsid w:val="00D03094"/>
    <w:rsid w:val="00D06DD0"/>
    <w:rsid w:val="00D107EF"/>
    <w:rsid w:val="00D17BC4"/>
    <w:rsid w:val="00D219CB"/>
    <w:rsid w:val="00D3027C"/>
    <w:rsid w:val="00D31C3E"/>
    <w:rsid w:val="00D41DB6"/>
    <w:rsid w:val="00D42259"/>
    <w:rsid w:val="00D422D8"/>
    <w:rsid w:val="00D56A02"/>
    <w:rsid w:val="00D577BB"/>
    <w:rsid w:val="00D61EDE"/>
    <w:rsid w:val="00D651F6"/>
    <w:rsid w:val="00DB3CC3"/>
    <w:rsid w:val="00DB4C0C"/>
    <w:rsid w:val="00DC71B4"/>
    <w:rsid w:val="00DE5F88"/>
    <w:rsid w:val="00E07371"/>
    <w:rsid w:val="00E11053"/>
    <w:rsid w:val="00E328F2"/>
    <w:rsid w:val="00E32C9A"/>
    <w:rsid w:val="00E47777"/>
    <w:rsid w:val="00E97C8F"/>
    <w:rsid w:val="00EA383E"/>
    <w:rsid w:val="00EB0C86"/>
    <w:rsid w:val="00EB5D42"/>
    <w:rsid w:val="00EB7D2A"/>
    <w:rsid w:val="00EC1CBA"/>
    <w:rsid w:val="00EF1284"/>
    <w:rsid w:val="00F2631B"/>
    <w:rsid w:val="00F424EC"/>
    <w:rsid w:val="00F474EF"/>
    <w:rsid w:val="00F70451"/>
    <w:rsid w:val="00F70AC0"/>
    <w:rsid w:val="00F847F9"/>
    <w:rsid w:val="00FC042F"/>
    <w:rsid w:val="00FC09CF"/>
    <w:rsid w:val="00FC7377"/>
    <w:rsid w:val="00FD601A"/>
    <w:rsid w:val="00FD7DD7"/>
    <w:rsid w:val="00FF6293"/>
    <w:rsid w:val="01EE9472"/>
    <w:rsid w:val="280C1846"/>
    <w:rsid w:val="58A81A01"/>
    <w:rsid w:val="6781F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A5FC2"/>
  <w15:chartTrackingRefBased/>
  <w15:docId w15:val="{FD8EA692-05E6-46E5-8EA7-BD11B4CB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CBA"/>
    <w:pPr>
      <w:ind w:left="720"/>
      <w:contextualSpacing/>
    </w:pPr>
  </w:style>
  <w:style w:type="paragraph" w:styleId="Header">
    <w:name w:val="header"/>
    <w:basedOn w:val="Normal"/>
    <w:link w:val="HeaderChar"/>
    <w:uiPriority w:val="99"/>
    <w:unhideWhenUsed/>
    <w:rsid w:val="005E00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0C2"/>
  </w:style>
  <w:style w:type="paragraph" w:styleId="Footer">
    <w:name w:val="footer"/>
    <w:basedOn w:val="Normal"/>
    <w:link w:val="FooterChar"/>
    <w:uiPriority w:val="99"/>
    <w:unhideWhenUsed/>
    <w:rsid w:val="005E00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0C2"/>
  </w:style>
  <w:style w:type="character" w:styleId="Hyperlink">
    <w:name w:val="Hyperlink"/>
    <w:basedOn w:val="DefaultParagraphFont"/>
    <w:uiPriority w:val="99"/>
    <w:unhideWhenUsed/>
    <w:rsid w:val="009E490A"/>
    <w:rPr>
      <w:color w:val="0563C1" w:themeColor="hyperlink"/>
      <w:u w:val="single"/>
    </w:rPr>
  </w:style>
  <w:style w:type="character" w:styleId="FollowedHyperlink">
    <w:name w:val="FollowedHyperlink"/>
    <w:basedOn w:val="DefaultParagraphFont"/>
    <w:uiPriority w:val="99"/>
    <w:semiHidden/>
    <w:unhideWhenUsed/>
    <w:rsid w:val="009E490A"/>
    <w:rPr>
      <w:color w:val="954F72" w:themeColor="followedHyperlink"/>
      <w:u w:val="single"/>
    </w:rPr>
  </w:style>
  <w:style w:type="table" w:styleId="TableGrid">
    <w:name w:val="Table Grid"/>
    <w:basedOn w:val="TableNormal"/>
    <w:uiPriority w:val="39"/>
    <w:rsid w:val="0061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7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D40"/>
    <w:rPr>
      <w:rFonts w:ascii="Segoe UI" w:hAnsi="Segoe UI" w:cs="Segoe UI"/>
      <w:sz w:val="18"/>
      <w:szCs w:val="18"/>
    </w:rPr>
  </w:style>
  <w:style w:type="character" w:styleId="Strong">
    <w:name w:val="Strong"/>
    <w:basedOn w:val="DefaultParagraphFont"/>
    <w:uiPriority w:val="22"/>
    <w:qFormat/>
    <w:rsid w:val="00995432"/>
    <w:rPr>
      <w:b/>
      <w:bCs/>
    </w:rPr>
  </w:style>
  <w:style w:type="character" w:styleId="UnresolvedMention">
    <w:name w:val="Unresolved Mention"/>
    <w:basedOn w:val="DefaultParagraphFont"/>
    <w:uiPriority w:val="99"/>
    <w:semiHidden/>
    <w:unhideWhenUsed/>
    <w:rsid w:val="008E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7566">
      <w:bodyDiv w:val="1"/>
      <w:marLeft w:val="0"/>
      <w:marRight w:val="0"/>
      <w:marTop w:val="0"/>
      <w:marBottom w:val="0"/>
      <w:divBdr>
        <w:top w:val="none" w:sz="0" w:space="0" w:color="auto"/>
        <w:left w:val="none" w:sz="0" w:space="0" w:color="auto"/>
        <w:bottom w:val="none" w:sz="0" w:space="0" w:color="auto"/>
        <w:right w:val="none" w:sz="0" w:space="0" w:color="auto"/>
      </w:divBdr>
    </w:div>
    <w:div w:id="397870976">
      <w:bodyDiv w:val="1"/>
      <w:marLeft w:val="0"/>
      <w:marRight w:val="0"/>
      <w:marTop w:val="0"/>
      <w:marBottom w:val="0"/>
      <w:divBdr>
        <w:top w:val="none" w:sz="0" w:space="0" w:color="auto"/>
        <w:left w:val="none" w:sz="0" w:space="0" w:color="auto"/>
        <w:bottom w:val="none" w:sz="0" w:space="0" w:color="auto"/>
        <w:right w:val="none" w:sz="0" w:space="0" w:color="auto"/>
      </w:divBdr>
    </w:div>
    <w:div w:id="1070347767">
      <w:bodyDiv w:val="1"/>
      <w:marLeft w:val="0"/>
      <w:marRight w:val="0"/>
      <w:marTop w:val="0"/>
      <w:marBottom w:val="0"/>
      <w:divBdr>
        <w:top w:val="none" w:sz="0" w:space="0" w:color="auto"/>
        <w:left w:val="none" w:sz="0" w:space="0" w:color="auto"/>
        <w:bottom w:val="none" w:sz="0" w:space="0" w:color="auto"/>
        <w:right w:val="none" w:sz="0" w:space="0" w:color="auto"/>
      </w:divBdr>
    </w:div>
    <w:div w:id="1100565099">
      <w:bodyDiv w:val="1"/>
      <w:marLeft w:val="0"/>
      <w:marRight w:val="0"/>
      <w:marTop w:val="0"/>
      <w:marBottom w:val="0"/>
      <w:divBdr>
        <w:top w:val="none" w:sz="0" w:space="0" w:color="auto"/>
        <w:left w:val="none" w:sz="0" w:space="0" w:color="auto"/>
        <w:bottom w:val="none" w:sz="0" w:space="0" w:color="auto"/>
        <w:right w:val="none" w:sz="0" w:space="0" w:color="auto"/>
      </w:divBdr>
    </w:div>
    <w:div w:id="1420562740">
      <w:bodyDiv w:val="1"/>
      <w:marLeft w:val="0"/>
      <w:marRight w:val="0"/>
      <w:marTop w:val="0"/>
      <w:marBottom w:val="0"/>
      <w:divBdr>
        <w:top w:val="none" w:sz="0" w:space="0" w:color="auto"/>
        <w:left w:val="none" w:sz="0" w:space="0" w:color="auto"/>
        <w:bottom w:val="none" w:sz="0" w:space="0" w:color="auto"/>
        <w:right w:val="none" w:sz="0" w:space="0" w:color="auto"/>
      </w:divBdr>
    </w:div>
    <w:div w:id="173539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hschool.eoe@hee.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eeoe.hee.nhs.uk/sites/default/files/study_leave_application_form_aug_2021_22.xls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E2DD2DD1F6A4AB5DF734F80EF08F6" ma:contentTypeVersion="16" ma:contentTypeDescription="Create a new document." ma:contentTypeScope="" ma:versionID="9b7effed9c0c4a26c823bfe4771bf4f7">
  <xsd:schema xmlns:xsd="http://www.w3.org/2001/XMLSchema" xmlns:xs="http://www.w3.org/2001/XMLSchema" xmlns:p="http://schemas.microsoft.com/office/2006/metadata/properties" xmlns:ns2="6107b81f-0873-494e-aebb-1f982396ede1" xmlns:ns3="2fd8aed5-8fe2-468d-9bbc-8513a08aecfc" targetNamespace="http://schemas.microsoft.com/office/2006/metadata/properties" ma:root="true" ma:fieldsID="15935d50cd44805e4ffacd97c1690e4b" ns2:_="" ns3:_="">
    <xsd:import namespace="6107b81f-0873-494e-aebb-1f982396ede1"/>
    <xsd:import namespace="2fd8aed5-8fe2-468d-9bbc-8513a08ae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7b81f-0873-494e-aebb-1f982396e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d8aed5-8fe2-468d-9bbc-8513a08a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3fe3c-8877-4775-a9cf-1a8341ffb77d}" ma:internalName="TaxCatchAll" ma:showField="CatchAllData" ma:web="2fd8aed5-8fe2-468d-9bbc-8513a08ae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fd8aed5-8fe2-468d-9bbc-8513a08aecfc">
      <UserInfo>
        <DisplayName/>
        <AccountId xsi:nil="true"/>
        <AccountType/>
      </UserInfo>
    </SharedWithUsers>
    <MediaLengthInSeconds xmlns="6107b81f-0873-494e-aebb-1f982396ede1" xsi:nil="true"/>
    <lcf76f155ced4ddcb4097134ff3c332f xmlns="6107b81f-0873-494e-aebb-1f982396ede1">
      <Terms xmlns="http://schemas.microsoft.com/office/infopath/2007/PartnerControls"/>
    </lcf76f155ced4ddcb4097134ff3c332f>
    <TaxCatchAll xmlns="2fd8aed5-8fe2-468d-9bbc-8513a08aec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C13D73-9D69-44C8-8BE1-71CE5397B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7b81f-0873-494e-aebb-1f982396ede1"/>
    <ds:schemaRef ds:uri="2fd8aed5-8fe2-468d-9bbc-8513a08a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522BE-9DC6-4D2E-B203-47146D5522A3}">
  <ds:schemaRefs>
    <ds:schemaRef ds:uri="http://schemas.microsoft.com/office/2006/metadata/properties"/>
    <ds:schemaRef ds:uri="http://schemas.microsoft.com/office/infopath/2007/PartnerControls"/>
    <ds:schemaRef ds:uri="2fd8aed5-8fe2-468d-9bbc-8513a08aecfc"/>
    <ds:schemaRef ds:uri="6107b81f-0873-494e-aebb-1f982396ede1"/>
  </ds:schemaRefs>
</ds:datastoreItem>
</file>

<file path=customXml/itemProps3.xml><?xml version="1.0" encoding="utf-8"?>
<ds:datastoreItem xmlns:ds="http://schemas.openxmlformats.org/officeDocument/2006/customXml" ds:itemID="{3A9A1CC8-49BA-4377-8D1F-742270D97B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1526</Words>
  <Characters>8704</Characters>
  <Application>Microsoft Office Word</Application>
  <DocSecurity>4</DocSecurity>
  <Lines>72</Lines>
  <Paragraphs>20</Paragraphs>
  <ScaleCrop>false</ScaleCrop>
  <Company>University of East Anglia</Company>
  <LinksUpToDate>false</LinksUpToDate>
  <CharactersWithSpaces>10210</CharactersWithSpaces>
  <SharedDoc>false</SharedDoc>
  <HLinks>
    <vt:vector size="12" baseType="variant">
      <vt:variant>
        <vt:i4>65575</vt:i4>
      </vt:variant>
      <vt:variant>
        <vt:i4>3</vt:i4>
      </vt:variant>
      <vt:variant>
        <vt:i4>0</vt:i4>
      </vt:variant>
      <vt:variant>
        <vt:i4>5</vt:i4>
      </vt:variant>
      <vt:variant>
        <vt:lpwstr>mailto:phschool.eoe@hee.nhs.uk</vt:lpwstr>
      </vt:variant>
      <vt:variant>
        <vt:lpwstr/>
      </vt:variant>
      <vt:variant>
        <vt:i4>3932287</vt:i4>
      </vt:variant>
      <vt:variant>
        <vt:i4>0</vt:i4>
      </vt:variant>
      <vt:variant>
        <vt:i4>0</vt:i4>
      </vt:variant>
      <vt:variant>
        <vt:i4>5</vt:i4>
      </vt:variant>
      <vt:variant>
        <vt:lpwstr>https://heeoe.hee.nhs.uk/sites/default/files/study_leave_application_form_aug_2021_22.xlsx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Steel (MED)</dc:creator>
  <cp:keywords/>
  <dc:description/>
  <cp:lastModifiedBy>Naomi Reynolds</cp:lastModifiedBy>
  <cp:revision>8</cp:revision>
  <cp:lastPrinted>2017-07-19T23:31:00Z</cp:lastPrinted>
  <dcterms:created xsi:type="dcterms:W3CDTF">2019-04-09T18:24:00Z</dcterms:created>
  <dcterms:modified xsi:type="dcterms:W3CDTF">2022-06-30T19:31:00Z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-2021006080</vt:i4>
  </property>
  <property fmtid="{D5CDD505-2E9C-101B-9397-08002B2CF9AE}" pid="3" name="_NewReviewCycle">
    <vt:lpwstr/>
  </property>
  <property fmtid="{D5CDD505-2E9C-101B-9397-08002B2CF9AE}" pid="4" name="_EmailSubject">
    <vt:lpwstr>Excess Travel claim</vt:lpwstr>
  </property>
  <property fmtid="{D5CDD505-2E9C-101B-9397-08002B2CF9AE}" pid="5" name="_AuthorEmail">
    <vt:lpwstr>N.Steel@uea.ac.uk</vt:lpwstr>
  </property>
  <property fmtid="{D5CDD505-2E9C-101B-9397-08002B2CF9AE}" pid="6" name="_AuthorEmailDisplayName">
    <vt:lpwstr>Nicholas Steel (MED - Staff)</vt:lpwstr>
  </property>
  <property fmtid="{D5CDD505-2E9C-101B-9397-08002B2CF9AE}" pid="7" name="_ReviewingToolsShownOnce">
    <vt:lpwstr/>
  </property>
  <property fmtid="{D5CDD505-2E9C-101B-9397-08002B2CF9AE}" pid="8" name="ContentTypeId">
    <vt:lpwstr>0x010100EEFE2DD2DD1F6A4AB5DF734F80EF08F6</vt:lpwstr>
  </property>
  <property fmtid="{D5CDD505-2E9C-101B-9397-08002B2CF9AE}" pid="9" name="Order">
    <vt:r8>742100</vt:r8>
  </property>
  <property fmtid="{D5CDD505-2E9C-101B-9397-08002B2CF9AE}" pid="10" name="ComplianceAssetId">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