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02" w:rsidRPr="00D9707A" w:rsidRDefault="00BD4F9B" w:rsidP="00514C3B">
      <w:pPr>
        <w:pStyle w:val="BodyText"/>
        <w:rPr>
          <w:rFonts w:cs="Arial"/>
          <w:bCs w:val="0"/>
          <w:sz w:val="24"/>
        </w:rPr>
      </w:pPr>
      <w:bookmarkStart w:id="0" w:name="_GoBack"/>
      <w:bookmarkEnd w:id="0"/>
      <w:r w:rsidRPr="00D9707A">
        <w:rPr>
          <w:rFonts w:cs="Arial"/>
          <w:bCs w:val="0"/>
          <w:sz w:val="24"/>
        </w:rPr>
        <w:t xml:space="preserve">Service Delivery Standards </w:t>
      </w:r>
    </w:p>
    <w:p w:rsidR="007F0F5D" w:rsidRPr="00D9707A" w:rsidRDefault="00BD4F9B" w:rsidP="00514C3B">
      <w:pPr>
        <w:pStyle w:val="BodyText"/>
        <w:rPr>
          <w:rFonts w:cs="Arial"/>
          <w:bCs w:val="0"/>
          <w:sz w:val="24"/>
        </w:rPr>
      </w:pPr>
      <w:r w:rsidRPr="00D9707A">
        <w:rPr>
          <w:rFonts w:cs="Arial"/>
          <w:bCs w:val="0"/>
          <w:sz w:val="24"/>
        </w:rPr>
        <w:t>T</w:t>
      </w:r>
      <w:r w:rsidR="00FC7079" w:rsidRPr="00D9707A">
        <w:rPr>
          <w:rFonts w:cs="Arial"/>
          <w:bCs w:val="0"/>
          <w:sz w:val="24"/>
        </w:rPr>
        <w:t>he Management and Administrati</w:t>
      </w:r>
      <w:r w:rsidRPr="00D9707A">
        <w:rPr>
          <w:rFonts w:cs="Arial"/>
          <w:bCs w:val="0"/>
          <w:sz w:val="24"/>
        </w:rPr>
        <w:t>on</w:t>
      </w:r>
      <w:r w:rsidR="00FC7079" w:rsidRPr="00D9707A">
        <w:rPr>
          <w:rFonts w:cs="Arial"/>
          <w:bCs w:val="0"/>
          <w:sz w:val="24"/>
        </w:rPr>
        <w:t xml:space="preserve"> </w:t>
      </w:r>
      <w:r w:rsidRPr="00D9707A">
        <w:rPr>
          <w:rFonts w:cs="Arial"/>
          <w:bCs w:val="0"/>
          <w:sz w:val="24"/>
        </w:rPr>
        <w:t>of Postgraduate Medical Education</w:t>
      </w:r>
      <w:r w:rsidR="00FC7079" w:rsidRPr="00D9707A">
        <w:rPr>
          <w:rFonts w:cs="Arial"/>
          <w:bCs w:val="0"/>
          <w:sz w:val="24"/>
        </w:rPr>
        <w:t xml:space="preserve"> </w:t>
      </w:r>
    </w:p>
    <w:p w:rsidR="00514C3B" w:rsidRPr="00D9707A" w:rsidRDefault="00514C3B" w:rsidP="00514C3B">
      <w:pPr>
        <w:pStyle w:val="BodyText"/>
        <w:rPr>
          <w:rFonts w:cs="Arial"/>
          <w:b w:val="0"/>
          <w:bCs w:val="0"/>
          <w:sz w:val="24"/>
        </w:rPr>
      </w:pPr>
    </w:p>
    <w:tbl>
      <w:tblPr>
        <w:tblW w:w="10151" w:type="dxa"/>
        <w:jc w:val="center"/>
        <w:tblInd w:w="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22"/>
        <w:gridCol w:w="8029"/>
      </w:tblGrid>
      <w:tr w:rsidR="00565927" w:rsidRPr="00D9707A" w:rsidTr="00C90CB6">
        <w:trPr>
          <w:trHeight w:val="345"/>
          <w:jc w:val="center"/>
        </w:trPr>
        <w:tc>
          <w:tcPr>
            <w:tcW w:w="2122" w:type="dxa"/>
            <w:shd w:val="clear" w:color="auto" w:fill="595959"/>
            <w:vAlign w:val="center"/>
          </w:tcPr>
          <w:p w:rsidR="00565927" w:rsidRPr="00D9707A" w:rsidRDefault="00565927" w:rsidP="001F1C43">
            <w:pPr>
              <w:pStyle w:val="BodyText"/>
              <w:rPr>
                <w:rFonts w:cs="Arial"/>
                <w:bCs w:val="0"/>
                <w:color w:val="FFFFFF"/>
                <w:sz w:val="24"/>
              </w:rPr>
            </w:pPr>
            <w:r w:rsidRPr="00D9707A">
              <w:rPr>
                <w:rFonts w:cs="Arial"/>
                <w:bCs w:val="0"/>
                <w:color w:val="FFFFFF"/>
                <w:sz w:val="24"/>
              </w:rPr>
              <w:t>Service</w:t>
            </w:r>
          </w:p>
        </w:tc>
        <w:tc>
          <w:tcPr>
            <w:tcW w:w="8029" w:type="dxa"/>
            <w:vAlign w:val="center"/>
          </w:tcPr>
          <w:p w:rsidR="00565927" w:rsidRPr="00D9707A" w:rsidRDefault="00EE41FC" w:rsidP="00565927">
            <w:pPr>
              <w:pStyle w:val="BodyText"/>
              <w:jc w:val="left"/>
              <w:rPr>
                <w:rFonts w:cs="Arial"/>
                <w:b w:val="0"/>
                <w:bCs w:val="0"/>
                <w:sz w:val="24"/>
              </w:rPr>
            </w:pPr>
            <w:r w:rsidRPr="00D9707A">
              <w:rPr>
                <w:rFonts w:cs="Arial"/>
                <w:b w:val="0"/>
                <w:bCs w:val="0"/>
                <w:sz w:val="24"/>
              </w:rPr>
              <w:t xml:space="preserve">Study Leave </w:t>
            </w:r>
          </w:p>
        </w:tc>
      </w:tr>
      <w:tr w:rsidR="00565927" w:rsidRPr="00D9707A" w:rsidTr="00C90CB6">
        <w:trPr>
          <w:trHeight w:val="345"/>
          <w:jc w:val="center"/>
        </w:trPr>
        <w:tc>
          <w:tcPr>
            <w:tcW w:w="2122" w:type="dxa"/>
            <w:shd w:val="clear" w:color="auto" w:fill="595959"/>
            <w:vAlign w:val="center"/>
          </w:tcPr>
          <w:p w:rsidR="00565927" w:rsidRPr="00D9707A" w:rsidRDefault="00565927" w:rsidP="001F1C43">
            <w:pPr>
              <w:pStyle w:val="BodyText"/>
              <w:rPr>
                <w:rFonts w:cs="Arial"/>
                <w:bCs w:val="0"/>
                <w:color w:val="FFFFFF"/>
                <w:sz w:val="24"/>
              </w:rPr>
            </w:pPr>
            <w:r w:rsidRPr="00D9707A">
              <w:rPr>
                <w:rFonts w:cs="Arial"/>
                <w:bCs w:val="0"/>
                <w:color w:val="FFFFFF"/>
                <w:sz w:val="24"/>
              </w:rPr>
              <w:t>Author</w:t>
            </w:r>
          </w:p>
        </w:tc>
        <w:tc>
          <w:tcPr>
            <w:tcW w:w="8029" w:type="dxa"/>
            <w:vAlign w:val="center"/>
          </w:tcPr>
          <w:p w:rsidR="00565927" w:rsidRPr="00D9707A" w:rsidRDefault="0019607A" w:rsidP="009B6026">
            <w:pPr>
              <w:pStyle w:val="BodyText"/>
              <w:jc w:val="left"/>
              <w:rPr>
                <w:rFonts w:cs="Arial"/>
                <w:b w:val="0"/>
                <w:bCs w:val="0"/>
                <w:sz w:val="24"/>
              </w:rPr>
            </w:pPr>
            <w:r w:rsidRPr="00D9707A">
              <w:rPr>
                <w:rFonts w:cs="Arial"/>
                <w:b w:val="0"/>
                <w:bCs w:val="0"/>
                <w:sz w:val="24"/>
              </w:rPr>
              <w:t xml:space="preserve">Education Centre </w:t>
            </w:r>
          </w:p>
        </w:tc>
      </w:tr>
      <w:tr w:rsidR="00565927" w:rsidRPr="00D9707A" w:rsidTr="00C90CB6">
        <w:trPr>
          <w:trHeight w:val="345"/>
          <w:jc w:val="center"/>
        </w:trPr>
        <w:tc>
          <w:tcPr>
            <w:tcW w:w="2122" w:type="dxa"/>
            <w:shd w:val="clear" w:color="auto" w:fill="595959"/>
            <w:vAlign w:val="center"/>
          </w:tcPr>
          <w:p w:rsidR="00565927" w:rsidRPr="00D9707A" w:rsidRDefault="00565927" w:rsidP="001F1C43">
            <w:pPr>
              <w:pStyle w:val="BodyText"/>
              <w:rPr>
                <w:rFonts w:cs="Arial"/>
                <w:bCs w:val="0"/>
                <w:color w:val="FFFFFF"/>
                <w:sz w:val="24"/>
              </w:rPr>
            </w:pPr>
            <w:r w:rsidRPr="00D9707A">
              <w:rPr>
                <w:rFonts w:cs="Arial"/>
                <w:bCs w:val="0"/>
                <w:color w:val="FFFFFF"/>
                <w:sz w:val="24"/>
              </w:rPr>
              <w:t>Provider</w:t>
            </w:r>
          </w:p>
        </w:tc>
        <w:tc>
          <w:tcPr>
            <w:tcW w:w="8029" w:type="dxa"/>
            <w:vAlign w:val="center"/>
          </w:tcPr>
          <w:p w:rsidR="00565927" w:rsidRPr="00D9707A" w:rsidRDefault="0019607A" w:rsidP="00EC25F2">
            <w:pPr>
              <w:pStyle w:val="BodyText"/>
              <w:jc w:val="left"/>
              <w:rPr>
                <w:rFonts w:cs="Arial"/>
                <w:b w:val="0"/>
                <w:bCs w:val="0"/>
                <w:sz w:val="24"/>
              </w:rPr>
            </w:pPr>
            <w:r w:rsidRPr="00D9707A">
              <w:rPr>
                <w:rFonts w:cs="Arial"/>
                <w:b w:val="0"/>
                <w:bCs w:val="0"/>
                <w:sz w:val="24"/>
              </w:rPr>
              <w:t xml:space="preserve">Trust </w:t>
            </w:r>
          </w:p>
        </w:tc>
      </w:tr>
      <w:tr w:rsidR="00565927" w:rsidRPr="00D9707A" w:rsidTr="00C90CB6">
        <w:trPr>
          <w:trHeight w:val="345"/>
          <w:jc w:val="center"/>
        </w:trPr>
        <w:tc>
          <w:tcPr>
            <w:tcW w:w="2122" w:type="dxa"/>
            <w:shd w:val="clear" w:color="auto" w:fill="595959"/>
            <w:vAlign w:val="center"/>
          </w:tcPr>
          <w:p w:rsidR="00565927" w:rsidRPr="00D9707A" w:rsidRDefault="00565927" w:rsidP="001F1C43">
            <w:pPr>
              <w:pStyle w:val="BodyText"/>
              <w:rPr>
                <w:rFonts w:cs="Arial"/>
                <w:bCs w:val="0"/>
                <w:color w:val="FFFFFF"/>
                <w:sz w:val="24"/>
              </w:rPr>
            </w:pPr>
            <w:r w:rsidRPr="00D9707A">
              <w:rPr>
                <w:rFonts w:cs="Arial"/>
                <w:bCs w:val="0"/>
                <w:color w:val="FFFFFF"/>
                <w:sz w:val="24"/>
              </w:rPr>
              <w:t>Period</w:t>
            </w:r>
          </w:p>
        </w:tc>
        <w:tc>
          <w:tcPr>
            <w:tcW w:w="8029" w:type="dxa"/>
            <w:vAlign w:val="center"/>
          </w:tcPr>
          <w:p w:rsidR="00565927" w:rsidRPr="00D9707A" w:rsidRDefault="0019607A" w:rsidP="00565927">
            <w:pPr>
              <w:pStyle w:val="BodyText"/>
              <w:jc w:val="left"/>
              <w:rPr>
                <w:rFonts w:cs="Arial"/>
                <w:b w:val="0"/>
                <w:bCs w:val="0"/>
                <w:sz w:val="24"/>
              </w:rPr>
            </w:pPr>
            <w:r w:rsidRPr="00D9707A">
              <w:rPr>
                <w:rFonts w:cs="Arial"/>
                <w:b w:val="0"/>
                <w:bCs w:val="0"/>
                <w:sz w:val="24"/>
              </w:rPr>
              <w:t>1 August 2014 – 1 August 2015</w:t>
            </w:r>
            <w:r w:rsidR="00FC7079" w:rsidRPr="00D9707A">
              <w:rPr>
                <w:rFonts w:cs="Arial"/>
                <w:b w:val="0"/>
                <w:bCs w:val="0"/>
                <w:sz w:val="24"/>
              </w:rPr>
              <w:t xml:space="preserve"> </w:t>
            </w:r>
          </w:p>
        </w:tc>
      </w:tr>
    </w:tbl>
    <w:p w:rsidR="007F0F5D" w:rsidRPr="00D9707A" w:rsidRDefault="007F0F5D">
      <w:pPr>
        <w:pStyle w:val="BodyText"/>
        <w:jc w:val="both"/>
        <w:rPr>
          <w:rFonts w:cs="Arial"/>
          <w:b w:val="0"/>
          <w:bCs w:val="0"/>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5234"/>
      </w:tblGrid>
      <w:tr w:rsidR="007F0F5D" w:rsidRPr="00D9707A" w:rsidTr="00547CDC">
        <w:tc>
          <w:tcPr>
            <w:tcW w:w="10207" w:type="dxa"/>
            <w:gridSpan w:val="2"/>
            <w:tcBorders>
              <w:top w:val="nil"/>
              <w:left w:val="nil"/>
              <w:bottom w:val="single" w:sz="4" w:space="0" w:color="999999"/>
              <w:right w:val="nil"/>
            </w:tcBorders>
            <w:shd w:val="clear" w:color="auto" w:fill="666666"/>
          </w:tcPr>
          <w:p w:rsidR="007F0F5D" w:rsidRPr="00D9707A" w:rsidRDefault="007F0F5D">
            <w:pPr>
              <w:pStyle w:val="BodyText"/>
              <w:jc w:val="both"/>
              <w:rPr>
                <w:rFonts w:cs="Arial"/>
                <w:bCs w:val="0"/>
                <w:color w:val="FFFFFF"/>
                <w:sz w:val="24"/>
              </w:rPr>
            </w:pPr>
          </w:p>
          <w:p w:rsidR="007F0F5D" w:rsidRPr="00D9707A" w:rsidRDefault="007F0F5D">
            <w:pPr>
              <w:pStyle w:val="BodyText"/>
              <w:jc w:val="both"/>
              <w:rPr>
                <w:rFonts w:cs="Arial"/>
                <w:bCs w:val="0"/>
                <w:color w:val="FFFFFF"/>
                <w:sz w:val="24"/>
              </w:rPr>
            </w:pPr>
            <w:r w:rsidRPr="00D9707A">
              <w:rPr>
                <w:rFonts w:cs="Arial"/>
                <w:bCs w:val="0"/>
                <w:color w:val="FFFFFF"/>
                <w:sz w:val="24"/>
              </w:rPr>
              <w:t xml:space="preserve">1.  </w:t>
            </w:r>
            <w:r w:rsidR="00770655" w:rsidRPr="00D9707A">
              <w:rPr>
                <w:rFonts w:cs="Arial"/>
                <w:bCs w:val="0"/>
                <w:color w:val="FFFFFF"/>
                <w:sz w:val="24"/>
              </w:rPr>
              <w:t xml:space="preserve">Aims and Expected Outcomes </w:t>
            </w:r>
          </w:p>
          <w:p w:rsidR="007F0F5D" w:rsidRPr="00D9707A" w:rsidRDefault="007F0F5D">
            <w:pPr>
              <w:pStyle w:val="BodyText"/>
              <w:jc w:val="both"/>
              <w:rPr>
                <w:rFonts w:cs="Arial"/>
                <w:bCs w:val="0"/>
                <w:color w:val="FFFFFF"/>
                <w:sz w:val="24"/>
              </w:rPr>
            </w:pPr>
          </w:p>
        </w:tc>
      </w:tr>
      <w:tr w:rsidR="007F0F5D" w:rsidRPr="00D9707A" w:rsidTr="00547CDC">
        <w:tc>
          <w:tcPr>
            <w:tcW w:w="10207" w:type="dxa"/>
            <w:gridSpan w:val="2"/>
            <w:tcBorders>
              <w:top w:val="single" w:sz="4" w:space="0" w:color="999999"/>
              <w:left w:val="single" w:sz="4" w:space="0" w:color="999999"/>
              <w:bottom w:val="single" w:sz="4" w:space="0" w:color="999999"/>
              <w:right w:val="single" w:sz="4" w:space="0" w:color="999999"/>
            </w:tcBorders>
          </w:tcPr>
          <w:p w:rsidR="007F0F5D" w:rsidRPr="00D9707A" w:rsidRDefault="007F0F5D" w:rsidP="006773AA">
            <w:pPr>
              <w:pStyle w:val="BodyText"/>
              <w:jc w:val="both"/>
              <w:rPr>
                <w:rFonts w:cs="Arial"/>
                <w:b w:val="0"/>
                <w:bCs w:val="0"/>
                <w:sz w:val="24"/>
              </w:rPr>
            </w:pPr>
          </w:p>
          <w:p w:rsidR="00314629" w:rsidRPr="00D9707A" w:rsidRDefault="00314629" w:rsidP="00EC25F2">
            <w:pPr>
              <w:rPr>
                <w:rFonts w:cs="Arial"/>
                <w:b/>
                <w:sz w:val="24"/>
              </w:rPr>
            </w:pPr>
            <w:r w:rsidRPr="00D9707A">
              <w:rPr>
                <w:rFonts w:cs="Arial"/>
                <w:b/>
                <w:sz w:val="24"/>
              </w:rPr>
              <w:t>Aim</w:t>
            </w:r>
          </w:p>
          <w:p w:rsidR="00314629" w:rsidRPr="00D9707A" w:rsidRDefault="00314629" w:rsidP="00AD1AC6">
            <w:pPr>
              <w:spacing w:line="276" w:lineRule="auto"/>
              <w:rPr>
                <w:rFonts w:cs="Arial"/>
                <w:sz w:val="24"/>
              </w:rPr>
            </w:pPr>
            <w:r w:rsidRPr="00D9707A">
              <w:rPr>
                <w:rFonts w:cs="Arial"/>
                <w:sz w:val="24"/>
              </w:rPr>
              <w:t>The aim of the service is to provide managemen</w:t>
            </w:r>
            <w:r w:rsidR="009F6E03" w:rsidRPr="00D9707A">
              <w:rPr>
                <w:rFonts w:cs="Arial"/>
                <w:sz w:val="24"/>
              </w:rPr>
              <w:t>t /administrative support for study leave process for training grade doctors.  Includes processi</w:t>
            </w:r>
            <w:r w:rsidR="00EC25F2" w:rsidRPr="00D9707A">
              <w:rPr>
                <w:rFonts w:cs="Arial"/>
                <w:sz w:val="24"/>
              </w:rPr>
              <w:t xml:space="preserve">ng of applications for approval by DME or equivalent local title) or by nominated officer/deputy, </w:t>
            </w:r>
            <w:r w:rsidR="009F6E03" w:rsidRPr="00D9707A">
              <w:rPr>
                <w:rFonts w:cs="Arial"/>
                <w:sz w:val="24"/>
              </w:rPr>
              <w:t>processing of reimbursement claims, maintenance of records of leave taken and amounts of reimbursement</w:t>
            </w:r>
          </w:p>
          <w:p w:rsidR="00314629" w:rsidRPr="00D9707A" w:rsidRDefault="00314629" w:rsidP="00EC25F2">
            <w:pPr>
              <w:rPr>
                <w:rFonts w:cs="Arial"/>
                <w:sz w:val="24"/>
              </w:rPr>
            </w:pPr>
          </w:p>
          <w:p w:rsidR="00314629" w:rsidRPr="00D9707A" w:rsidRDefault="00314629" w:rsidP="00EC25F2">
            <w:pPr>
              <w:rPr>
                <w:rFonts w:cs="Arial"/>
                <w:b/>
                <w:sz w:val="24"/>
              </w:rPr>
            </w:pPr>
            <w:r w:rsidRPr="00D9707A">
              <w:rPr>
                <w:rFonts w:cs="Arial"/>
                <w:b/>
                <w:sz w:val="24"/>
              </w:rPr>
              <w:t xml:space="preserve">Expected Outcomes </w:t>
            </w:r>
          </w:p>
          <w:p w:rsidR="00EC25F2" w:rsidRPr="00D9707A" w:rsidRDefault="00EC25F2" w:rsidP="00EC25F2">
            <w:pPr>
              <w:rPr>
                <w:rFonts w:cs="Arial"/>
                <w:b/>
                <w:sz w:val="24"/>
              </w:rPr>
            </w:pPr>
          </w:p>
          <w:p w:rsidR="00314629" w:rsidRPr="00D9707A" w:rsidRDefault="00314629" w:rsidP="00AD1AC6">
            <w:pPr>
              <w:pStyle w:val="BodyText"/>
              <w:numPr>
                <w:ilvl w:val="0"/>
                <w:numId w:val="2"/>
              </w:numPr>
              <w:tabs>
                <w:tab w:val="clear" w:pos="720"/>
              </w:tabs>
              <w:spacing w:line="276" w:lineRule="auto"/>
              <w:ind w:left="540" w:hanging="540"/>
              <w:jc w:val="left"/>
              <w:rPr>
                <w:rFonts w:cs="Arial"/>
                <w:b w:val="0"/>
                <w:sz w:val="24"/>
              </w:rPr>
            </w:pPr>
            <w:r w:rsidRPr="00D9707A">
              <w:rPr>
                <w:rFonts w:cs="Arial"/>
                <w:b w:val="0"/>
                <w:sz w:val="24"/>
              </w:rPr>
              <w:t xml:space="preserve">Compliance with the </w:t>
            </w:r>
            <w:r w:rsidR="008F3EA3" w:rsidRPr="00D9707A">
              <w:rPr>
                <w:rFonts w:cs="Arial"/>
                <w:b w:val="0"/>
                <w:sz w:val="24"/>
              </w:rPr>
              <w:t>HEEoE</w:t>
            </w:r>
            <w:r w:rsidRPr="00D9707A">
              <w:rPr>
                <w:rFonts w:cs="Arial"/>
                <w:b w:val="0"/>
                <w:sz w:val="24"/>
              </w:rPr>
              <w:t>’s Policies and Procedures</w:t>
            </w:r>
          </w:p>
          <w:p w:rsidR="009F6E03" w:rsidRPr="00D9707A" w:rsidRDefault="009F6E03" w:rsidP="00AD1AC6">
            <w:pPr>
              <w:pStyle w:val="BodyText"/>
              <w:numPr>
                <w:ilvl w:val="0"/>
                <w:numId w:val="2"/>
              </w:numPr>
              <w:tabs>
                <w:tab w:val="clear" w:pos="720"/>
              </w:tabs>
              <w:spacing w:line="276" w:lineRule="auto"/>
              <w:ind w:left="540" w:hanging="540"/>
              <w:jc w:val="left"/>
              <w:rPr>
                <w:rFonts w:cs="Arial"/>
                <w:b w:val="0"/>
                <w:sz w:val="24"/>
              </w:rPr>
            </w:pPr>
            <w:r w:rsidRPr="00D9707A">
              <w:rPr>
                <w:rFonts w:cs="Arial"/>
                <w:b w:val="0"/>
                <w:sz w:val="24"/>
              </w:rPr>
              <w:t>Compliance with Trust’s Policies and Procedures</w:t>
            </w:r>
          </w:p>
          <w:p w:rsidR="009F6E03" w:rsidRPr="00D9707A" w:rsidRDefault="009F6E03" w:rsidP="00AD1AC6">
            <w:pPr>
              <w:pStyle w:val="BodyText"/>
              <w:numPr>
                <w:ilvl w:val="0"/>
                <w:numId w:val="2"/>
              </w:numPr>
              <w:tabs>
                <w:tab w:val="clear" w:pos="720"/>
              </w:tabs>
              <w:spacing w:line="276" w:lineRule="auto"/>
              <w:ind w:left="540" w:hanging="540"/>
              <w:jc w:val="left"/>
              <w:rPr>
                <w:rFonts w:cs="Arial"/>
                <w:b w:val="0"/>
                <w:sz w:val="24"/>
              </w:rPr>
            </w:pPr>
            <w:r w:rsidRPr="00D9707A">
              <w:rPr>
                <w:rFonts w:cs="Arial"/>
                <w:b w:val="0"/>
                <w:sz w:val="24"/>
              </w:rPr>
              <w:t>Record of leave taken (date, location, details of course/conference/examination etc.) for individual trainee</w:t>
            </w:r>
            <w:r w:rsidR="00040400" w:rsidRPr="00D9707A">
              <w:rPr>
                <w:rFonts w:cs="Arial"/>
                <w:b w:val="0"/>
                <w:sz w:val="24"/>
              </w:rPr>
              <w:t xml:space="preserve"> including private study leave</w:t>
            </w:r>
          </w:p>
          <w:p w:rsidR="009F6E03" w:rsidRPr="00D9707A" w:rsidRDefault="009F6E03" w:rsidP="00AD1AC6">
            <w:pPr>
              <w:pStyle w:val="BodyText"/>
              <w:numPr>
                <w:ilvl w:val="0"/>
                <w:numId w:val="2"/>
              </w:numPr>
              <w:tabs>
                <w:tab w:val="clear" w:pos="720"/>
              </w:tabs>
              <w:spacing w:line="276" w:lineRule="auto"/>
              <w:ind w:left="540" w:hanging="540"/>
              <w:jc w:val="left"/>
              <w:rPr>
                <w:rFonts w:cs="Arial"/>
                <w:b w:val="0"/>
                <w:sz w:val="24"/>
              </w:rPr>
            </w:pPr>
            <w:r w:rsidRPr="00D9707A">
              <w:rPr>
                <w:rFonts w:cs="Arial"/>
                <w:b w:val="0"/>
                <w:sz w:val="24"/>
              </w:rPr>
              <w:t>Record of overall expenditure against study leave budget</w:t>
            </w:r>
          </w:p>
          <w:p w:rsidR="009F6E03" w:rsidRPr="00D9707A" w:rsidRDefault="009F6E03" w:rsidP="00AD1AC6">
            <w:pPr>
              <w:pStyle w:val="BodyText"/>
              <w:numPr>
                <w:ilvl w:val="0"/>
                <w:numId w:val="2"/>
              </w:numPr>
              <w:tabs>
                <w:tab w:val="clear" w:pos="720"/>
              </w:tabs>
              <w:spacing w:line="276" w:lineRule="auto"/>
              <w:ind w:left="540" w:hanging="540"/>
              <w:jc w:val="left"/>
              <w:rPr>
                <w:rFonts w:cs="Arial"/>
                <w:b w:val="0"/>
                <w:sz w:val="24"/>
              </w:rPr>
            </w:pPr>
            <w:r w:rsidRPr="00D9707A">
              <w:rPr>
                <w:rFonts w:cs="Arial"/>
                <w:b w:val="0"/>
                <w:sz w:val="24"/>
              </w:rPr>
              <w:t>Record of amounts reimbursed to each trainee within individual allocation</w:t>
            </w:r>
          </w:p>
          <w:p w:rsidR="00D8641B" w:rsidRPr="00D9707A" w:rsidRDefault="00D8641B" w:rsidP="00AD1AC6">
            <w:pPr>
              <w:pStyle w:val="BodyText"/>
              <w:numPr>
                <w:ilvl w:val="0"/>
                <w:numId w:val="2"/>
              </w:numPr>
              <w:tabs>
                <w:tab w:val="clear" w:pos="720"/>
              </w:tabs>
              <w:spacing w:line="276" w:lineRule="auto"/>
              <w:ind w:left="540" w:hanging="540"/>
              <w:jc w:val="left"/>
              <w:rPr>
                <w:rFonts w:cs="Arial"/>
                <w:b w:val="0"/>
                <w:sz w:val="24"/>
              </w:rPr>
            </w:pPr>
            <w:r w:rsidRPr="00D9707A">
              <w:rPr>
                <w:rFonts w:cs="Arial"/>
                <w:b w:val="0"/>
                <w:sz w:val="24"/>
              </w:rPr>
              <w:t xml:space="preserve">Trainees will be expected to have attended local teaching and completed mandatory training to be eligible to apply for external study leave. </w:t>
            </w:r>
          </w:p>
          <w:p w:rsidR="0025756A" w:rsidRPr="00D9707A" w:rsidRDefault="0025756A" w:rsidP="006773AA">
            <w:pPr>
              <w:ind w:left="540"/>
              <w:jc w:val="both"/>
              <w:rPr>
                <w:rFonts w:cs="Arial"/>
                <w:b/>
                <w:bCs/>
                <w:sz w:val="24"/>
              </w:rPr>
            </w:pPr>
          </w:p>
        </w:tc>
      </w:tr>
      <w:tr w:rsidR="007F0F5D" w:rsidRPr="00D9707A" w:rsidTr="00547CDC">
        <w:tc>
          <w:tcPr>
            <w:tcW w:w="10207" w:type="dxa"/>
            <w:gridSpan w:val="2"/>
            <w:tcBorders>
              <w:top w:val="single" w:sz="4" w:space="0" w:color="999999"/>
              <w:left w:val="nil"/>
              <w:bottom w:val="single" w:sz="4" w:space="0" w:color="999999"/>
              <w:right w:val="nil"/>
            </w:tcBorders>
            <w:shd w:val="clear" w:color="auto" w:fill="666666"/>
          </w:tcPr>
          <w:p w:rsidR="007F0F5D" w:rsidRPr="00D9707A" w:rsidRDefault="007F0F5D">
            <w:pPr>
              <w:pStyle w:val="BodyText"/>
              <w:jc w:val="both"/>
              <w:rPr>
                <w:rFonts w:cs="Arial"/>
                <w:bCs w:val="0"/>
                <w:color w:val="FFFFFF"/>
                <w:sz w:val="24"/>
                <w:u w:val="single"/>
              </w:rPr>
            </w:pPr>
          </w:p>
          <w:p w:rsidR="007F0F5D" w:rsidRPr="00D9707A" w:rsidRDefault="0019607A">
            <w:pPr>
              <w:pStyle w:val="BodyText"/>
              <w:jc w:val="both"/>
              <w:rPr>
                <w:rFonts w:cs="Arial"/>
                <w:bCs w:val="0"/>
                <w:color w:val="FFFFFF"/>
                <w:sz w:val="24"/>
              </w:rPr>
            </w:pPr>
            <w:r w:rsidRPr="00D9707A">
              <w:rPr>
                <w:rFonts w:cs="Arial"/>
                <w:bCs w:val="0"/>
                <w:color w:val="FFFFFF"/>
                <w:sz w:val="24"/>
              </w:rPr>
              <w:t>2</w:t>
            </w:r>
            <w:r w:rsidR="007F0F5D" w:rsidRPr="00D9707A">
              <w:rPr>
                <w:rFonts w:cs="Arial"/>
                <w:bCs w:val="0"/>
                <w:color w:val="FFFFFF"/>
                <w:sz w:val="24"/>
              </w:rPr>
              <w:t>.  Service Delivery</w:t>
            </w:r>
            <w:r w:rsidR="00EC25F2" w:rsidRPr="00D9707A">
              <w:rPr>
                <w:rFonts w:cs="Arial"/>
                <w:bCs w:val="0"/>
                <w:color w:val="FFFFFF"/>
                <w:sz w:val="24"/>
              </w:rPr>
              <w:t xml:space="preserve"> </w:t>
            </w:r>
          </w:p>
          <w:p w:rsidR="007F0F5D" w:rsidRPr="00D9707A" w:rsidRDefault="007F0F5D">
            <w:pPr>
              <w:pStyle w:val="BodyText"/>
              <w:jc w:val="both"/>
              <w:rPr>
                <w:rFonts w:cs="Arial"/>
                <w:bCs w:val="0"/>
                <w:color w:val="FFFFFF"/>
                <w:sz w:val="24"/>
                <w:u w:val="single"/>
              </w:rPr>
            </w:pPr>
          </w:p>
        </w:tc>
      </w:tr>
      <w:tr w:rsidR="007F0F5D" w:rsidRPr="00D9707A" w:rsidTr="00547CDC">
        <w:tc>
          <w:tcPr>
            <w:tcW w:w="10207" w:type="dxa"/>
            <w:gridSpan w:val="2"/>
            <w:tcBorders>
              <w:top w:val="single" w:sz="4" w:space="0" w:color="999999"/>
              <w:left w:val="single" w:sz="4" w:space="0" w:color="999999"/>
              <w:bottom w:val="single" w:sz="4" w:space="0" w:color="999999"/>
              <w:right w:val="single" w:sz="4" w:space="0" w:color="999999"/>
            </w:tcBorders>
          </w:tcPr>
          <w:p w:rsidR="00637199" w:rsidRDefault="00637199" w:rsidP="00EC25F2">
            <w:pPr>
              <w:rPr>
                <w:rFonts w:cs="Arial"/>
                <w:sz w:val="24"/>
              </w:rPr>
            </w:pPr>
          </w:p>
          <w:p w:rsidR="00314629" w:rsidRPr="00D9707A" w:rsidRDefault="00314629" w:rsidP="00EC25F2">
            <w:pPr>
              <w:rPr>
                <w:rFonts w:cs="Arial"/>
                <w:sz w:val="24"/>
              </w:rPr>
            </w:pPr>
            <w:r w:rsidRPr="00D9707A">
              <w:rPr>
                <w:rFonts w:cs="Arial"/>
                <w:sz w:val="24"/>
              </w:rPr>
              <w:t xml:space="preserve">Requirements are as follows: </w:t>
            </w:r>
          </w:p>
          <w:p w:rsidR="00314629" w:rsidRPr="00D9707A" w:rsidRDefault="00314629" w:rsidP="00EC25F2">
            <w:pPr>
              <w:rPr>
                <w:rFonts w:cs="Arial"/>
                <w:b/>
                <w:sz w:val="24"/>
              </w:rPr>
            </w:pPr>
          </w:p>
          <w:p w:rsidR="00314629" w:rsidRPr="00D9707A" w:rsidRDefault="009F6E03" w:rsidP="00EC25F2">
            <w:pPr>
              <w:rPr>
                <w:rFonts w:cs="Arial"/>
                <w:b/>
                <w:sz w:val="24"/>
              </w:rPr>
            </w:pPr>
            <w:r w:rsidRPr="00D9707A">
              <w:rPr>
                <w:rFonts w:cs="Arial"/>
                <w:b/>
                <w:sz w:val="24"/>
              </w:rPr>
              <w:t xml:space="preserve">Administration of applications for study leave </w:t>
            </w:r>
          </w:p>
          <w:p w:rsidR="00314629" w:rsidRPr="00D9707A" w:rsidRDefault="00750A2D" w:rsidP="00AD1AC6">
            <w:pPr>
              <w:numPr>
                <w:ilvl w:val="0"/>
                <w:numId w:val="53"/>
              </w:numPr>
              <w:spacing w:line="276" w:lineRule="auto"/>
              <w:ind w:left="709" w:hanging="283"/>
              <w:rPr>
                <w:rFonts w:cs="Arial"/>
                <w:sz w:val="24"/>
              </w:rPr>
            </w:pPr>
            <w:r w:rsidRPr="00D9707A">
              <w:rPr>
                <w:rFonts w:cs="Arial"/>
                <w:sz w:val="24"/>
              </w:rPr>
              <w:t>Applications for study leave are approved by DME (or equivalent local title) or by nominated officer/deputy</w:t>
            </w:r>
          </w:p>
          <w:p w:rsidR="00E47580" w:rsidRPr="00D9707A" w:rsidRDefault="00E47580" w:rsidP="00AD1AC6">
            <w:pPr>
              <w:numPr>
                <w:ilvl w:val="0"/>
                <w:numId w:val="53"/>
              </w:numPr>
              <w:spacing w:line="276" w:lineRule="auto"/>
              <w:ind w:left="709" w:hanging="283"/>
              <w:rPr>
                <w:rFonts w:cs="Arial"/>
                <w:sz w:val="24"/>
              </w:rPr>
            </w:pPr>
            <w:r w:rsidRPr="00D9707A">
              <w:rPr>
                <w:rFonts w:cs="Arial"/>
                <w:sz w:val="24"/>
              </w:rPr>
              <w:t>Prospective applications</w:t>
            </w:r>
            <w:r w:rsidR="002A1225" w:rsidRPr="00D9707A">
              <w:rPr>
                <w:rFonts w:cs="Arial"/>
                <w:sz w:val="24"/>
              </w:rPr>
              <w:t xml:space="preserve"> only; retrospective applications not allowed</w:t>
            </w:r>
          </w:p>
          <w:p w:rsidR="002A1225" w:rsidRPr="00D9707A" w:rsidRDefault="002A1225" w:rsidP="00AD1AC6">
            <w:pPr>
              <w:numPr>
                <w:ilvl w:val="0"/>
                <w:numId w:val="53"/>
              </w:numPr>
              <w:spacing w:line="276" w:lineRule="auto"/>
              <w:ind w:left="709" w:hanging="283"/>
              <w:rPr>
                <w:rFonts w:cs="Arial"/>
                <w:sz w:val="24"/>
              </w:rPr>
            </w:pPr>
            <w:r w:rsidRPr="00D9707A">
              <w:rPr>
                <w:rFonts w:cs="Arial"/>
                <w:sz w:val="24"/>
              </w:rPr>
              <w:t>Ensuring applications fall within study leave guidelines &amp; identifying exceptions</w:t>
            </w:r>
          </w:p>
          <w:p w:rsidR="002A1225" w:rsidRDefault="002A1225" w:rsidP="00AD1AC6">
            <w:pPr>
              <w:numPr>
                <w:ilvl w:val="0"/>
                <w:numId w:val="53"/>
              </w:numPr>
              <w:spacing w:line="276" w:lineRule="auto"/>
              <w:ind w:left="709" w:hanging="283"/>
              <w:rPr>
                <w:rFonts w:cs="Arial"/>
                <w:sz w:val="24"/>
              </w:rPr>
            </w:pPr>
            <w:r w:rsidRPr="00D9707A">
              <w:rPr>
                <w:rFonts w:cs="Arial"/>
                <w:sz w:val="24"/>
              </w:rPr>
              <w:t xml:space="preserve">Provision of advice to trainees </w:t>
            </w:r>
          </w:p>
          <w:p w:rsidR="00637199" w:rsidRPr="00D9707A" w:rsidRDefault="00637199" w:rsidP="00637199">
            <w:pPr>
              <w:spacing w:line="276" w:lineRule="auto"/>
              <w:ind w:left="709"/>
              <w:rPr>
                <w:rFonts w:cs="Arial"/>
                <w:sz w:val="24"/>
              </w:rPr>
            </w:pPr>
          </w:p>
          <w:p w:rsidR="002A1225" w:rsidRPr="00D9707A" w:rsidRDefault="002A1225" w:rsidP="00AD1AC6">
            <w:pPr>
              <w:numPr>
                <w:ilvl w:val="0"/>
                <w:numId w:val="53"/>
              </w:numPr>
              <w:spacing w:line="276" w:lineRule="auto"/>
              <w:ind w:left="709" w:hanging="283"/>
              <w:rPr>
                <w:rFonts w:cs="Arial"/>
                <w:sz w:val="24"/>
              </w:rPr>
            </w:pPr>
            <w:r w:rsidRPr="00D9707A">
              <w:rPr>
                <w:rFonts w:cs="Arial"/>
                <w:sz w:val="24"/>
              </w:rPr>
              <w:lastRenderedPageBreak/>
              <w:t>Individual records against</w:t>
            </w:r>
          </w:p>
          <w:p w:rsidR="002A1225" w:rsidRPr="00D9707A" w:rsidRDefault="002A1225" w:rsidP="00AD1AC6">
            <w:pPr>
              <w:numPr>
                <w:ilvl w:val="1"/>
                <w:numId w:val="53"/>
              </w:numPr>
              <w:spacing w:line="276" w:lineRule="auto"/>
              <w:rPr>
                <w:rFonts w:cs="Arial"/>
                <w:sz w:val="24"/>
              </w:rPr>
            </w:pPr>
            <w:r w:rsidRPr="00D9707A">
              <w:rPr>
                <w:rFonts w:cs="Arial"/>
                <w:sz w:val="24"/>
              </w:rPr>
              <w:t>Allocation of days</w:t>
            </w:r>
          </w:p>
          <w:p w:rsidR="00314629" w:rsidRPr="00D9707A" w:rsidRDefault="002A1225" w:rsidP="00AD1AC6">
            <w:pPr>
              <w:numPr>
                <w:ilvl w:val="1"/>
                <w:numId w:val="53"/>
              </w:numPr>
              <w:spacing w:line="276" w:lineRule="auto"/>
              <w:rPr>
                <w:rFonts w:cs="Arial"/>
                <w:sz w:val="24"/>
              </w:rPr>
            </w:pPr>
            <w:r w:rsidRPr="00D9707A">
              <w:rPr>
                <w:rFonts w:cs="Arial"/>
                <w:sz w:val="24"/>
              </w:rPr>
              <w:t>Funding allocation/claims</w:t>
            </w:r>
          </w:p>
          <w:p w:rsidR="00AD1AC6" w:rsidRPr="00D9707A" w:rsidRDefault="00AD1AC6" w:rsidP="00AD1AC6">
            <w:pPr>
              <w:spacing w:line="276" w:lineRule="auto"/>
              <w:rPr>
                <w:rFonts w:cs="Arial"/>
                <w:b/>
                <w:sz w:val="24"/>
              </w:rPr>
            </w:pPr>
          </w:p>
          <w:p w:rsidR="00314629" w:rsidRPr="00D9707A" w:rsidRDefault="009F6E03" w:rsidP="00AD1AC6">
            <w:pPr>
              <w:spacing w:line="276" w:lineRule="auto"/>
              <w:rPr>
                <w:rFonts w:cs="Arial"/>
                <w:b/>
                <w:sz w:val="24"/>
              </w:rPr>
            </w:pPr>
            <w:r w:rsidRPr="00D9707A">
              <w:rPr>
                <w:rFonts w:cs="Arial"/>
                <w:b/>
                <w:sz w:val="24"/>
              </w:rPr>
              <w:t>Administration of applications for reimbursement</w:t>
            </w:r>
          </w:p>
          <w:p w:rsidR="00314629" w:rsidRPr="00D9707A" w:rsidRDefault="009F6E03" w:rsidP="00AD1AC6">
            <w:pPr>
              <w:numPr>
                <w:ilvl w:val="0"/>
                <w:numId w:val="54"/>
              </w:numPr>
              <w:spacing w:line="276" w:lineRule="auto"/>
              <w:rPr>
                <w:rFonts w:cs="Arial"/>
                <w:sz w:val="24"/>
              </w:rPr>
            </w:pPr>
            <w:r w:rsidRPr="00D9707A">
              <w:rPr>
                <w:rFonts w:cs="Arial"/>
                <w:sz w:val="24"/>
              </w:rPr>
              <w:t>ONLY for prospectively approved periods of study leave.   NOT for any retrospective applications</w:t>
            </w:r>
          </w:p>
          <w:p w:rsidR="009F6E03" w:rsidRPr="00D9707A" w:rsidRDefault="009F6E03" w:rsidP="00AD1AC6">
            <w:pPr>
              <w:numPr>
                <w:ilvl w:val="0"/>
                <w:numId w:val="54"/>
              </w:numPr>
              <w:spacing w:line="276" w:lineRule="auto"/>
              <w:rPr>
                <w:rFonts w:cs="Arial"/>
                <w:sz w:val="24"/>
              </w:rPr>
            </w:pPr>
            <w:r w:rsidRPr="00D9707A">
              <w:rPr>
                <w:rFonts w:cs="Arial"/>
                <w:sz w:val="24"/>
              </w:rPr>
              <w:t>Record of amount claimed by an individual for each period of leave taken</w:t>
            </w:r>
          </w:p>
          <w:p w:rsidR="009F6E03" w:rsidRPr="00D9707A" w:rsidRDefault="009F6E03" w:rsidP="00AD1AC6">
            <w:pPr>
              <w:numPr>
                <w:ilvl w:val="0"/>
                <w:numId w:val="54"/>
              </w:numPr>
              <w:spacing w:line="276" w:lineRule="auto"/>
              <w:rPr>
                <w:rFonts w:cs="Arial"/>
                <w:sz w:val="24"/>
              </w:rPr>
            </w:pPr>
            <w:r w:rsidRPr="00D9707A">
              <w:rPr>
                <w:rFonts w:cs="Arial"/>
                <w:sz w:val="24"/>
              </w:rPr>
              <w:t>Record of overall amount approved from study leave budget</w:t>
            </w:r>
          </w:p>
          <w:p w:rsidR="002A1225" w:rsidRPr="00D9707A" w:rsidRDefault="002A1225" w:rsidP="00AD1AC6">
            <w:pPr>
              <w:numPr>
                <w:ilvl w:val="0"/>
                <w:numId w:val="54"/>
              </w:numPr>
              <w:spacing w:line="276" w:lineRule="auto"/>
              <w:rPr>
                <w:rFonts w:cs="Arial"/>
                <w:sz w:val="24"/>
              </w:rPr>
            </w:pPr>
            <w:r w:rsidRPr="00D9707A">
              <w:rPr>
                <w:rFonts w:cs="Arial"/>
                <w:sz w:val="24"/>
              </w:rPr>
              <w:t>Processing the claim, ensuring all amounts are within allowed allocations and supported by receipts</w:t>
            </w:r>
          </w:p>
          <w:p w:rsidR="002A1225" w:rsidRPr="00D9707A" w:rsidRDefault="002A1225" w:rsidP="00AD1AC6">
            <w:pPr>
              <w:numPr>
                <w:ilvl w:val="0"/>
                <w:numId w:val="54"/>
              </w:numPr>
              <w:spacing w:line="276" w:lineRule="auto"/>
              <w:rPr>
                <w:rFonts w:cs="Arial"/>
                <w:sz w:val="24"/>
              </w:rPr>
            </w:pPr>
            <w:r w:rsidRPr="00D9707A">
              <w:rPr>
                <w:rFonts w:cs="Arial"/>
                <w:sz w:val="24"/>
              </w:rPr>
              <w:t xml:space="preserve">Then according to individual Trust procedures with respect to submission to Payroll for reimbursement </w:t>
            </w:r>
          </w:p>
          <w:p w:rsidR="00AD1AC6" w:rsidRPr="00D9707A" w:rsidRDefault="00AD1AC6" w:rsidP="00EC25F2">
            <w:pPr>
              <w:spacing w:line="360" w:lineRule="auto"/>
              <w:rPr>
                <w:rFonts w:cs="Arial"/>
                <w:b/>
                <w:bCs/>
                <w:sz w:val="24"/>
              </w:rPr>
            </w:pPr>
          </w:p>
          <w:p w:rsidR="00F64DDF" w:rsidRPr="00D9707A" w:rsidRDefault="00D8641B" w:rsidP="00EC25F2">
            <w:pPr>
              <w:spacing w:line="360" w:lineRule="auto"/>
              <w:rPr>
                <w:rFonts w:cs="Arial"/>
                <w:bCs/>
                <w:sz w:val="24"/>
                <w:u w:val="single"/>
              </w:rPr>
            </w:pPr>
            <w:r w:rsidRPr="00D9707A">
              <w:rPr>
                <w:rFonts w:cs="Arial"/>
                <w:b/>
                <w:bCs/>
                <w:sz w:val="24"/>
              </w:rPr>
              <w:t>Applications from GP Specialty Registrars</w:t>
            </w:r>
          </w:p>
          <w:p w:rsidR="00D8641B" w:rsidRPr="00D9707A" w:rsidRDefault="00D8641B" w:rsidP="00EC25F2">
            <w:pPr>
              <w:spacing w:line="360" w:lineRule="auto"/>
              <w:rPr>
                <w:rFonts w:cs="Arial"/>
                <w:bCs/>
                <w:sz w:val="24"/>
                <w:u w:val="single"/>
              </w:rPr>
            </w:pPr>
            <w:r w:rsidRPr="00D9707A">
              <w:rPr>
                <w:rFonts w:cs="Arial"/>
                <w:bCs/>
                <w:sz w:val="24"/>
                <w:u w:val="single"/>
              </w:rPr>
              <w:t>In secondary care posts there are two aspects for the study leave process</w:t>
            </w:r>
          </w:p>
          <w:p w:rsidR="00D8641B" w:rsidRPr="00D9707A" w:rsidRDefault="00D8641B" w:rsidP="00EC25F2">
            <w:pPr>
              <w:spacing w:line="360" w:lineRule="auto"/>
              <w:rPr>
                <w:rFonts w:cs="Arial"/>
                <w:bCs/>
                <w:sz w:val="24"/>
              </w:rPr>
            </w:pPr>
            <w:r w:rsidRPr="00D9707A">
              <w:rPr>
                <w:rFonts w:cs="Arial"/>
                <w:bCs/>
                <w:sz w:val="24"/>
              </w:rPr>
              <w:t xml:space="preserve">Approval </w:t>
            </w:r>
            <w:r w:rsidR="00EC25F2" w:rsidRPr="00D9707A">
              <w:rPr>
                <w:rFonts w:cs="Arial"/>
                <w:bCs/>
                <w:sz w:val="24"/>
              </w:rPr>
              <w:t>to take</w:t>
            </w:r>
            <w:r w:rsidRPr="00D9707A">
              <w:rPr>
                <w:rFonts w:cs="Arial"/>
                <w:bCs/>
                <w:sz w:val="24"/>
              </w:rPr>
              <w:t xml:space="preserve"> study leave is approved in the usual manner, i.e. prospectively and approval for absence granted by DME as per other training grade posts in secondary care.   Records of leave taken (days, location etc.) maintained in Medical </w:t>
            </w:r>
            <w:r w:rsidR="000C3CFB" w:rsidRPr="00D9707A">
              <w:rPr>
                <w:rFonts w:cs="Arial"/>
                <w:bCs/>
                <w:sz w:val="24"/>
              </w:rPr>
              <w:t>Education</w:t>
            </w:r>
            <w:r w:rsidRPr="00D9707A">
              <w:rPr>
                <w:rFonts w:cs="Arial"/>
                <w:bCs/>
                <w:sz w:val="24"/>
              </w:rPr>
              <w:t xml:space="preserve"> Department,</w:t>
            </w:r>
          </w:p>
          <w:p w:rsidR="00D8641B" w:rsidRPr="00D9707A" w:rsidRDefault="00D8641B" w:rsidP="00EC25F2">
            <w:pPr>
              <w:spacing w:line="360" w:lineRule="auto"/>
              <w:rPr>
                <w:rFonts w:cs="Arial"/>
                <w:bCs/>
                <w:sz w:val="24"/>
              </w:rPr>
            </w:pPr>
            <w:r w:rsidRPr="00D9707A">
              <w:rPr>
                <w:rFonts w:cs="Arial"/>
                <w:bCs/>
                <w:sz w:val="24"/>
              </w:rPr>
              <w:t>Claims for study leave expenses, within an individual’s allocation, will be process</w:t>
            </w:r>
            <w:r w:rsidR="00EC25F2" w:rsidRPr="00D9707A">
              <w:rPr>
                <w:rFonts w:cs="Arial"/>
                <w:bCs/>
                <w:sz w:val="24"/>
              </w:rPr>
              <w:t>ed</w:t>
            </w:r>
            <w:r w:rsidRPr="00D9707A">
              <w:rPr>
                <w:rFonts w:cs="Arial"/>
                <w:bCs/>
                <w:sz w:val="24"/>
              </w:rPr>
              <w:t xml:space="preserve"> through the Lead Employer (Southend).  Exact process for this still to be confirmed.</w:t>
            </w:r>
          </w:p>
          <w:p w:rsidR="00D9707A" w:rsidRPr="00D9707A" w:rsidRDefault="00D9707A" w:rsidP="00EC25F2">
            <w:pPr>
              <w:spacing w:line="360" w:lineRule="auto"/>
              <w:rPr>
                <w:rFonts w:cs="Arial"/>
                <w:bCs/>
                <w:sz w:val="24"/>
              </w:rPr>
            </w:pPr>
          </w:p>
        </w:tc>
      </w:tr>
      <w:tr w:rsidR="007F0F5D" w:rsidRPr="00D9707A" w:rsidTr="00547CDC">
        <w:tc>
          <w:tcPr>
            <w:tcW w:w="10207" w:type="dxa"/>
            <w:gridSpan w:val="2"/>
            <w:tcBorders>
              <w:top w:val="single" w:sz="4" w:space="0" w:color="999999"/>
              <w:left w:val="nil"/>
              <w:bottom w:val="single" w:sz="4" w:space="0" w:color="999999"/>
              <w:right w:val="nil"/>
            </w:tcBorders>
            <w:shd w:val="clear" w:color="auto" w:fill="666666"/>
          </w:tcPr>
          <w:p w:rsidR="007F0F5D" w:rsidRPr="00D9707A" w:rsidRDefault="007F0F5D">
            <w:pPr>
              <w:pStyle w:val="BodyText"/>
              <w:jc w:val="both"/>
              <w:rPr>
                <w:rFonts w:cs="Arial"/>
                <w:bCs w:val="0"/>
                <w:color w:val="FFFFFF"/>
                <w:sz w:val="24"/>
                <w:u w:val="single"/>
              </w:rPr>
            </w:pPr>
          </w:p>
          <w:p w:rsidR="007F0F5D" w:rsidRPr="00D9707A" w:rsidRDefault="0019607A">
            <w:pPr>
              <w:pStyle w:val="BodyText"/>
              <w:jc w:val="both"/>
              <w:rPr>
                <w:rFonts w:cs="Arial"/>
                <w:bCs w:val="0"/>
                <w:color w:val="FFFFFF"/>
                <w:sz w:val="24"/>
              </w:rPr>
            </w:pPr>
            <w:r w:rsidRPr="00D9707A">
              <w:rPr>
                <w:rFonts w:cs="Arial"/>
                <w:bCs w:val="0"/>
                <w:color w:val="FFFFFF"/>
                <w:sz w:val="24"/>
              </w:rPr>
              <w:t>3</w:t>
            </w:r>
            <w:r w:rsidR="007F0F5D" w:rsidRPr="00D9707A">
              <w:rPr>
                <w:rFonts w:cs="Arial"/>
                <w:bCs w:val="0"/>
                <w:color w:val="FFFFFF"/>
                <w:sz w:val="24"/>
              </w:rPr>
              <w:t>.  Quality and Performance Standards</w:t>
            </w:r>
            <w:r w:rsidR="000E47AD" w:rsidRPr="00D9707A">
              <w:rPr>
                <w:rFonts w:cs="Arial"/>
                <w:bCs w:val="0"/>
                <w:color w:val="FFFFFF"/>
                <w:sz w:val="24"/>
              </w:rPr>
              <w:t xml:space="preserve"> </w:t>
            </w:r>
          </w:p>
          <w:p w:rsidR="007F0F5D" w:rsidRPr="00D9707A" w:rsidRDefault="007F0F5D">
            <w:pPr>
              <w:pStyle w:val="BodyText"/>
              <w:jc w:val="both"/>
              <w:rPr>
                <w:rFonts w:cs="Arial"/>
                <w:bCs w:val="0"/>
                <w:color w:val="FFFFFF"/>
                <w:sz w:val="24"/>
                <w:u w:val="single"/>
              </w:rPr>
            </w:pPr>
          </w:p>
        </w:tc>
      </w:tr>
      <w:tr w:rsidR="007F0F5D" w:rsidRPr="00D9707A" w:rsidTr="00547CDC">
        <w:trPr>
          <w:trHeight w:val="360"/>
        </w:trPr>
        <w:tc>
          <w:tcPr>
            <w:tcW w:w="10207" w:type="dxa"/>
            <w:gridSpan w:val="2"/>
            <w:tcBorders>
              <w:top w:val="nil"/>
              <w:left w:val="nil"/>
              <w:bottom w:val="nil"/>
              <w:right w:val="nil"/>
            </w:tcBorders>
          </w:tcPr>
          <w:tbl>
            <w:tblPr>
              <w:tblpPr w:leftFromText="180" w:rightFromText="180" w:vertAnchor="text" w:horzAnchor="margin" w:tblpX="-147" w:tblpY="-293"/>
              <w:tblOverlap w:val="never"/>
              <w:tblW w:w="101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75"/>
            </w:tblGrid>
            <w:tr w:rsidR="00C90CB6" w:rsidRPr="00D9707A" w:rsidTr="00547CDC">
              <w:trPr>
                <w:trHeight w:val="291"/>
              </w:trPr>
              <w:tc>
                <w:tcPr>
                  <w:tcW w:w="10175" w:type="dxa"/>
                  <w:vAlign w:val="center"/>
                </w:tcPr>
                <w:p w:rsidR="00C90CB6" w:rsidRPr="00D9707A" w:rsidRDefault="00C90CB6" w:rsidP="00194945">
                  <w:pPr>
                    <w:pStyle w:val="BodyText"/>
                    <w:jc w:val="left"/>
                    <w:rPr>
                      <w:rFonts w:cs="Arial"/>
                      <w:b w:val="0"/>
                      <w:sz w:val="24"/>
                    </w:rPr>
                  </w:pPr>
                  <w:r w:rsidRPr="00D9707A">
                    <w:rPr>
                      <w:rFonts w:cs="Arial"/>
                      <w:bCs w:val="0"/>
                      <w:sz w:val="24"/>
                    </w:rPr>
                    <w:t xml:space="preserve">Key Performance Indicator (KPI) </w:t>
                  </w:r>
                </w:p>
              </w:tc>
            </w:tr>
            <w:tr w:rsidR="00C90CB6" w:rsidRPr="00D9707A" w:rsidTr="00547CDC">
              <w:trPr>
                <w:trHeight w:val="872"/>
              </w:trPr>
              <w:tc>
                <w:tcPr>
                  <w:tcW w:w="10175" w:type="dxa"/>
                </w:tcPr>
                <w:p w:rsidR="00C90CB6" w:rsidRPr="00D9707A" w:rsidRDefault="00C90CB6" w:rsidP="00194945">
                  <w:pPr>
                    <w:pStyle w:val="BodyText"/>
                    <w:jc w:val="left"/>
                    <w:rPr>
                      <w:rFonts w:cs="Arial"/>
                      <w:b w:val="0"/>
                      <w:bCs w:val="0"/>
                      <w:sz w:val="24"/>
                    </w:rPr>
                  </w:pPr>
                </w:p>
                <w:p w:rsidR="00C90CB6" w:rsidRPr="00D9707A" w:rsidRDefault="00C90CB6" w:rsidP="00194945">
                  <w:pPr>
                    <w:pStyle w:val="BodyText"/>
                    <w:jc w:val="left"/>
                    <w:rPr>
                      <w:rFonts w:cs="Arial"/>
                      <w:b w:val="0"/>
                      <w:bCs w:val="0"/>
                      <w:sz w:val="24"/>
                    </w:rPr>
                  </w:pPr>
                  <w:r w:rsidRPr="00D9707A">
                    <w:rPr>
                      <w:rFonts w:cs="Arial"/>
                      <w:b w:val="0"/>
                      <w:sz w:val="24"/>
                    </w:rPr>
                    <w:t>All study leave applications to be received in MDE 6 weeks before start of study leave period</w:t>
                  </w:r>
                </w:p>
                <w:p w:rsidR="00C90CB6" w:rsidRPr="00D9707A" w:rsidRDefault="00C90CB6" w:rsidP="00194945">
                  <w:pPr>
                    <w:pStyle w:val="BodyText"/>
                    <w:jc w:val="left"/>
                    <w:rPr>
                      <w:rFonts w:cs="Arial"/>
                      <w:b w:val="0"/>
                      <w:bCs w:val="0"/>
                      <w:sz w:val="24"/>
                    </w:rPr>
                  </w:pPr>
                </w:p>
              </w:tc>
            </w:tr>
            <w:tr w:rsidR="00C90CB6" w:rsidRPr="00D9707A" w:rsidTr="00547CDC">
              <w:trPr>
                <w:trHeight w:val="888"/>
              </w:trPr>
              <w:tc>
                <w:tcPr>
                  <w:tcW w:w="10175" w:type="dxa"/>
                </w:tcPr>
                <w:p w:rsidR="00C90CB6" w:rsidRPr="00D9707A" w:rsidRDefault="00C90CB6" w:rsidP="00194945">
                  <w:pPr>
                    <w:pStyle w:val="BodyText"/>
                    <w:jc w:val="left"/>
                    <w:rPr>
                      <w:rFonts w:cs="Arial"/>
                      <w:b w:val="0"/>
                      <w:bCs w:val="0"/>
                      <w:sz w:val="24"/>
                    </w:rPr>
                  </w:pPr>
                  <w:r w:rsidRPr="00D9707A">
                    <w:rPr>
                      <w:rFonts w:cs="Arial"/>
                      <w:b w:val="0"/>
                      <w:bCs w:val="0"/>
                      <w:sz w:val="24"/>
                    </w:rPr>
                    <w:t>All applications for reimbursement to be submitted by the trainee within 2 months of the period of approved study leave being taken</w:t>
                  </w:r>
                </w:p>
                <w:p w:rsidR="00C90CB6" w:rsidRPr="00D9707A" w:rsidRDefault="00C90CB6" w:rsidP="00194945">
                  <w:pPr>
                    <w:pStyle w:val="BodyText"/>
                    <w:jc w:val="left"/>
                    <w:rPr>
                      <w:rFonts w:cs="Arial"/>
                      <w:b w:val="0"/>
                      <w:bCs w:val="0"/>
                      <w:sz w:val="24"/>
                    </w:rPr>
                  </w:pPr>
                </w:p>
              </w:tc>
            </w:tr>
            <w:tr w:rsidR="00C90CB6" w:rsidRPr="00D9707A" w:rsidTr="00547CDC">
              <w:trPr>
                <w:trHeight w:val="1259"/>
              </w:trPr>
              <w:tc>
                <w:tcPr>
                  <w:tcW w:w="10175" w:type="dxa"/>
                </w:tcPr>
                <w:p w:rsidR="00C90CB6" w:rsidRPr="00D9707A" w:rsidRDefault="00C90CB6" w:rsidP="00194945">
                  <w:pPr>
                    <w:pStyle w:val="BodyText"/>
                    <w:jc w:val="left"/>
                    <w:rPr>
                      <w:rFonts w:cs="Arial"/>
                      <w:b w:val="0"/>
                      <w:bCs w:val="0"/>
                      <w:sz w:val="24"/>
                    </w:rPr>
                  </w:pPr>
                  <w:r w:rsidRPr="00D9707A">
                    <w:rPr>
                      <w:rFonts w:cs="Arial"/>
                      <w:b w:val="0"/>
                      <w:bCs w:val="0"/>
                      <w:sz w:val="24"/>
                    </w:rPr>
                    <w:t>Maintenance of:</w:t>
                  </w:r>
                </w:p>
                <w:p w:rsidR="00C90CB6" w:rsidRPr="00D9707A" w:rsidRDefault="00C90CB6" w:rsidP="00194945">
                  <w:pPr>
                    <w:pStyle w:val="BodyText"/>
                    <w:numPr>
                      <w:ilvl w:val="0"/>
                      <w:numId w:val="56"/>
                    </w:numPr>
                    <w:jc w:val="left"/>
                    <w:rPr>
                      <w:rFonts w:cs="Arial"/>
                      <w:b w:val="0"/>
                      <w:bCs w:val="0"/>
                      <w:sz w:val="24"/>
                    </w:rPr>
                  </w:pPr>
                  <w:r w:rsidRPr="00D9707A">
                    <w:rPr>
                      <w:rFonts w:cs="Arial"/>
                      <w:b w:val="0"/>
                      <w:bCs w:val="0"/>
                      <w:sz w:val="24"/>
                    </w:rPr>
                    <w:t>All applications received by an individual trainee and outcome (e.g. +/- approved)</w:t>
                  </w:r>
                </w:p>
                <w:p w:rsidR="00C90CB6" w:rsidRPr="00D9707A" w:rsidRDefault="00C90CB6" w:rsidP="00194945">
                  <w:pPr>
                    <w:pStyle w:val="BodyText"/>
                    <w:numPr>
                      <w:ilvl w:val="0"/>
                      <w:numId w:val="56"/>
                    </w:numPr>
                    <w:jc w:val="left"/>
                    <w:rPr>
                      <w:rFonts w:cs="Arial"/>
                      <w:b w:val="0"/>
                      <w:bCs w:val="0"/>
                      <w:sz w:val="24"/>
                    </w:rPr>
                  </w:pPr>
                  <w:r w:rsidRPr="00D9707A">
                    <w:rPr>
                      <w:rFonts w:cs="Arial"/>
                      <w:b w:val="0"/>
                      <w:bCs w:val="0"/>
                      <w:sz w:val="24"/>
                    </w:rPr>
                    <w:t>All approved claims by an individual trainee</w:t>
                  </w:r>
                </w:p>
                <w:p w:rsidR="00C90CB6" w:rsidRPr="00D9707A" w:rsidRDefault="00C90CB6" w:rsidP="00194945">
                  <w:pPr>
                    <w:pStyle w:val="BodyText"/>
                    <w:numPr>
                      <w:ilvl w:val="0"/>
                      <w:numId w:val="56"/>
                    </w:numPr>
                    <w:jc w:val="left"/>
                    <w:rPr>
                      <w:rFonts w:cs="Arial"/>
                      <w:b w:val="0"/>
                      <w:bCs w:val="0"/>
                      <w:sz w:val="24"/>
                    </w:rPr>
                  </w:pPr>
                  <w:r w:rsidRPr="00D9707A">
                    <w:rPr>
                      <w:rFonts w:cs="Arial"/>
                      <w:b w:val="0"/>
                      <w:bCs w:val="0"/>
                      <w:sz w:val="24"/>
                    </w:rPr>
                    <w:t>Overall study leave expenditure for training grade doctors</w:t>
                  </w:r>
                </w:p>
              </w:tc>
            </w:tr>
          </w:tbl>
          <w:p w:rsidR="007F0F5D" w:rsidRPr="00D9707A" w:rsidRDefault="007F0F5D" w:rsidP="00B91D57">
            <w:pPr>
              <w:pStyle w:val="BodyText"/>
              <w:jc w:val="both"/>
              <w:rPr>
                <w:rFonts w:cs="Arial"/>
                <w:bCs w:val="0"/>
                <w:sz w:val="24"/>
                <w:u w:val="single"/>
              </w:rPr>
            </w:pPr>
          </w:p>
        </w:tc>
      </w:tr>
      <w:tr w:rsidR="00611AD9" w:rsidRPr="00D9707A" w:rsidTr="00547CDC">
        <w:tc>
          <w:tcPr>
            <w:tcW w:w="10207" w:type="dxa"/>
            <w:gridSpan w:val="2"/>
            <w:tcBorders>
              <w:top w:val="nil"/>
              <w:left w:val="nil"/>
              <w:bottom w:val="nil"/>
              <w:right w:val="nil"/>
            </w:tcBorders>
          </w:tcPr>
          <w:p w:rsidR="00D9707A" w:rsidRPr="00D9707A" w:rsidRDefault="00D9707A" w:rsidP="0068590D">
            <w:pPr>
              <w:pStyle w:val="BodyText"/>
              <w:jc w:val="both"/>
              <w:rPr>
                <w:rFonts w:cs="Arial"/>
                <w:b w:val="0"/>
                <w:bCs w:val="0"/>
                <w:sz w:val="24"/>
              </w:rPr>
            </w:pPr>
          </w:p>
        </w:tc>
      </w:tr>
      <w:tr w:rsidR="00611AD9" w:rsidRPr="00D9707A" w:rsidTr="00547CDC">
        <w:trPr>
          <w:trHeight w:val="778"/>
        </w:trPr>
        <w:tc>
          <w:tcPr>
            <w:tcW w:w="10207" w:type="dxa"/>
            <w:gridSpan w:val="2"/>
            <w:tcBorders>
              <w:top w:val="nil"/>
              <w:left w:val="nil"/>
              <w:bottom w:val="single" w:sz="4" w:space="0" w:color="999999"/>
              <w:right w:val="nil"/>
            </w:tcBorders>
            <w:shd w:val="clear" w:color="auto" w:fill="666666"/>
          </w:tcPr>
          <w:p w:rsidR="00611AD9" w:rsidRPr="00D9707A" w:rsidRDefault="00611AD9">
            <w:pPr>
              <w:pStyle w:val="BodyText"/>
              <w:jc w:val="both"/>
              <w:rPr>
                <w:rFonts w:cs="Arial"/>
                <w:bCs w:val="0"/>
                <w:color w:val="FFFFFF"/>
                <w:sz w:val="24"/>
              </w:rPr>
            </w:pPr>
          </w:p>
          <w:p w:rsidR="00F57537" w:rsidRPr="00D9707A" w:rsidRDefault="00770655" w:rsidP="00EC25F2">
            <w:pPr>
              <w:pStyle w:val="BodyText"/>
              <w:jc w:val="both"/>
              <w:rPr>
                <w:rFonts w:cs="Arial"/>
                <w:bCs w:val="0"/>
                <w:color w:val="FFFFFF"/>
                <w:sz w:val="24"/>
              </w:rPr>
            </w:pPr>
            <w:r w:rsidRPr="00D9707A">
              <w:rPr>
                <w:rFonts w:cs="Arial"/>
                <w:bCs w:val="0"/>
                <w:color w:val="FFFFFF"/>
                <w:sz w:val="24"/>
              </w:rPr>
              <w:t>4</w:t>
            </w:r>
            <w:r w:rsidR="00F57537" w:rsidRPr="00D9707A">
              <w:rPr>
                <w:rFonts w:cs="Arial"/>
                <w:bCs w:val="0"/>
                <w:color w:val="FFFFFF"/>
                <w:sz w:val="24"/>
              </w:rPr>
              <w:t>.  Activity</w:t>
            </w:r>
            <w:r w:rsidR="000E47AD" w:rsidRPr="00D9707A">
              <w:rPr>
                <w:rFonts w:cs="Arial"/>
                <w:bCs w:val="0"/>
                <w:color w:val="FFFFFF"/>
                <w:sz w:val="24"/>
              </w:rPr>
              <w:t xml:space="preserve"> </w:t>
            </w:r>
          </w:p>
        </w:tc>
      </w:tr>
      <w:tr w:rsidR="00611AD9" w:rsidRPr="00D9707A" w:rsidTr="00547CDC">
        <w:trPr>
          <w:trHeight w:val="70"/>
        </w:trPr>
        <w:tc>
          <w:tcPr>
            <w:tcW w:w="10207" w:type="dxa"/>
            <w:gridSpan w:val="2"/>
            <w:tcBorders>
              <w:top w:val="single" w:sz="4" w:space="0" w:color="999999"/>
              <w:left w:val="single" w:sz="4" w:space="0" w:color="999999"/>
              <w:bottom w:val="single" w:sz="4" w:space="0" w:color="999999"/>
              <w:right w:val="single" w:sz="4" w:space="0" w:color="999999"/>
            </w:tcBorders>
          </w:tcPr>
          <w:p w:rsidR="00611AD9" w:rsidRPr="00D9707A" w:rsidRDefault="00611AD9">
            <w:pPr>
              <w:pStyle w:val="BodyText"/>
              <w:jc w:val="left"/>
              <w:rPr>
                <w:rFonts w:cs="Arial"/>
                <w:bCs w:val="0"/>
                <w:sz w:val="24"/>
              </w:rPr>
            </w:pPr>
            <w:r w:rsidRPr="00D9707A">
              <w:rPr>
                <w:rFonts w:cs="Arial"/>
                <w:bCs w:val="0"/>
                <w:sz w:val="24"/>
              </w:rPr>
              <w:t>Performance Management Requirements</w:t>
            </w:r>
            <w:r w:rsidR="00EC25F2" w:rsidRPr="00D9707A">
              <w:rPr>
                <w:rFonts w:cs="Arial"/>
                <w:bCs w:val="0"/>
                <w:sz w:val="24"/>
              </w:rPr>
              <w:t xml:space="preserve"> </w:t>
            </w:r>
          </w:p>
          <w:p w:rsidR="00611AD9" w:rsidRPr="00D9707A" w:rsidRDefault="00611AD9">
            <w:pPr>
              <w:jc w:val="both"/>
              <w:rPr>
                <w:rFonts w:cs="Arial"/>
                <w:sz w:val="24"/>
              </w:rPr>
            </w:pPr>
          </w:p>
          <w:p w:rsidR="00611AD9" w:rsidRPr="00D9707A" w:rsidRDefault="00611AD9">
            <w:pPr>
              <w:jc w:val="both"/>
              <w:rPr>
                <w:rFonts w:cs="Arial"/>
                <w:sz w:val="24"/>
              </w:rPr>
            </w:pPr>
            <w:r w:rsidRPr="00D9707A">
              <w:rPr>
                <w:rFonts w:cs="Arial"/>
                <w:sz w:val="24"/>
              </w:rPr>
              <w:t xml:space="preserve">Providers to ensure that relevant systems are in place to enable data to be provided to </w:t>
            </w:r>
            <w:r w:rsidR="00770655" w:rsidRPr="00D9707A">
              <w:rPr>
                <w:rFonts w:cs="Arial"/>
                <w:sz w:val="24"/>
              </w:rPr>
              <w:t>HEEoE</w:t>
            </w:r>
            <w:r w:rsidR="00FF74C6" w:rsidRPr="00D9707A">
              <w:rPr>
                <w:rFonts w:cs="Arial"/>
                <w:sz w:val="24"/>
              </w:rPr>
              <w:t xml:space="preserve"> on</w:t>
            </w:r>
            <w:r w:rsidRPr="00D9707A">
              <w:rPr>
                <w:rFonts w:cs="Arial"/>
                <w:sz w:val="24"/>
              </w:rPr>
              <w:t xml:space="preserve"> a </w:t>
            </w:r>
            <w:r w:rsidR="00DD22C1" w:rsidRPr="00D9707A">
              <w:rPr>
                <w:rFonts w:cs="Arial"/>
                <w:sz w:val="24"/>
              </w:rPr>
              <w:t xml:space="preserve">regular </w:t>
            </w:r>
            <w:r w:rsidRPr="00D9707A">
              <w:rPr>
                <w:rFonts w:cs="Arial"/>
                <w:sz w:val="24"/>
              </w:rPr>
              <w:t>basis</w:t>
            </w:r>
            <w:r w:rsidR="00DD22C1" w:rsidRPr="00D9707A">
              <w:rPr>
                <w:rFonts w:cs="Arial"/>
                <w:sz w:val="24"/>
              </w:rPr>
              <w:t>, as outlined below:</w:t>
            </w:r>
          </w:p>
          <w:p w:rsidR="005966D9" w:rsidRPr="00D9707A" w:rsidRDefault="005966D9">
            <w:pPr>
              <w:jc w:val="both"/>
              <w:rPr>
                <w:rFonts w:cs="Arial"/>
                <w:b/>
                <w:sz w:val="24"/>
              </w:rPr>
            </w:pPr>
          </w:p>
          <w:p w:rsidR="005966D9" w:rsidRPr="00D9707A" w:rsidRDefault="005966D9">
            <w:pPr>
              <w:jc w:val="both"/>
              <w:rPr>
                <w:rFonts w:cs="Arial"/>
                <w:b/>
                <w:sz w:val="24"/>
              </w:rPr>
            </w:pPr>
            <w:r w:rsidRPr="00D9707A">
              <w:rPr>
                <w:rFonts w:cs="Arial"/>
                <w:b/>
                <w:sz w:val="24"/>
              </w:rPr>
              <w:t>Applications by an individual trainee and outcomes</w:t>
            </w:r>
          </w:p>
          <w:p w:rsidR="005966D9" w:rsidRPr="00D9707A" w:rsidRDefault="005966D9">
            <w:pPr>
              <w:jc w:val="both"/>
              <w:rPr>
                <w:rFonts w:cs="Arial"/>
                <w:b/>
                <w:sz w:val="24"/>
              </w:rPr>
            </w:pPr>
            <w:r w:rsidRPr="00D9707A">
              <w:rPr>
                <w:rFonts w:cs="Arial"/>
                <w:b/>
                <w:sz w:val="24"/>
              </w:rPr>
              <w:t>Individual approved expenditure claims</w:t>
            </w:r>
          </w:p>
          <w:p w:rsidR="0082792C" w:rsidRPr="00D9707A" w:rsidRDefault="005966D9" w:rsidP="00EC25F2">
            <w:pPr>
              <w:jc w:val="both"/>
              <w:rPr>
                <w:rFonts w:cs="Arial"/>
                <w:b/>
                <w:sz w:val="24"/>
              </w:rPr>
            </w:pPr>
            <w:r w:rsidRPr="00D9707A">
              <w:rPr>
                <w:rFonts w:cs="Arial"/>
                <w:b/>
                <w:sz w:val="24"/>
              </w:rPr>
              <w:t>Overall approved expenditure claim</w:t>
            </w:r>
            <w:r w:rsidR="00666EB0" w:rsidRPr="00D9707A">
              <w:rPr>
                <w:rFonts w:cs="Arial"/>
                <w:b/>
                <w:sz w:val="24"/>
              </w:rPr>
              <w:t>s</w:t>
            </w:r>
          </w:p>
          <w:p w:rsidR="0082792C" w:rsidRPr="00D9707A" w:rsidRDefault="0082792C" w:rsidP="00FF74C6">
            <w:pPr>
              <w:pStyle w:val="BodyText"/>
              <w:ind w:left="720"/>
              <w:jc w:val="left"/>
              <w:rPr>
                <w:rFonts w:cs="Arial"/>
                <w:bCs w:val="0"/>
                <w:sz w:val="24"/>
                <w:u w:val="single"/>
              </w:rPr>
            </w:pPr>
          </w:p>
        </w:tc>
      </w:tr>
      <w:tr w:rsidR="00C509FA" w:rsidRPr="00D9707A" w:rsidTr="00547CDC">
        <w:tc>
          <w:tcPr>
            <w:tcW w:w="10207" w:type="dxa"/>
            <w:gridSpan w:val="2"/>
            <w:tcBorders>
              <w:top w:val="single" w:sz="4" w:space="0" w:color="999999"/>
              <w:left w:val="nil"/>
              <w:bottom w:val="single" w:sz="4" w:space="0" w:color="808080"/>
              <w:right w:val="nil"/>
            </w:tcBorders>
            <w:shd w:val="clear" w:color="auto" w:fill="666666"/>
          </w:tcPr>
          <w:p w:rsidR="00C509FA" w:rsidRPr="00D9707A" w:rsidRDefault="00C509FA">
            <w:pPr>
              <w:pStyle w:val="BodyText"/>
              <w:jc w:val="both"/>
              <w:rPr>
                <w:rFonts w:cs="Arial"/>
                <w:bCs w:val="0"/>
                <w:sz w:val="24"/>
                <w:u w:val="single"/>
              </w:rPr>
            </w:pPr>
            <w:bookmarkStart w:id="1" w:name="_DV_M911"/>
            <w:bookmarkStart w:id="2" w:name="_DV_M912"/>
            <w:bookmarkStart w:id="3" w:name="_DV_M913"/>
            <w:bookmarkStart w:id="4" w:name="_DV_M914"/>
            <w:bookmarkEnd w:id="1"/>
            <w:bookmarkEnd w:id="2"/>
            <w:bookmarkEnd w:id="3"/>
            <w:bookmarkEnd w:id="4"/>
          </w:p>
          <w:p w:rsidR="00C509FA" w:rsidRPr="00D9707A" w:rsidRDefault="00770655">
            <w:pPr>
              <w:pStyle w:val="BodyText"/>
              <w:jc w:val="both"/>
              <w:rPr>
                <w:rFonts w:cs="Arial"/>
                <w:bCs w:val="0"/>
                <w:color w:val="FFFFFF" w:themeColor="background1"/>
                <w:sz w:val="24"/>
              </w:rPr>
            </w:pPr>
            <w:r w:rsidRPr="00D9707A">
              <w:rPr>
                <w:rFonts w:cs="Arial"/>
                <w:bCs w:val="0"/>
                <w:color w:val="FFFFFF" w:themeColor="background1"/>
                <w:sz w:val="24"/>
              </w:rPr>
              <w:t>5</w:t>
            </w:r>
            <w:r w:rsidR="00C509FA" w:rsidRPr="00D9707A">
              <w:rPr>
                <w:rFonts w:cs="Arial"/>
                <w:bCs w:val="0"/>
                <w:color w:val="FFFFFF" w:themeColor="background1"/>
                <w:sz w:val="24"/>
              </w:rPr>
              <w:t>.  Reviews</w:t>
            </w:r>
          </w:p>
          <w:p w:rsidR="00C509FA" w:rsidRPr="00D9707A" w:rsidRDefault="00C509FA">
            <w:pPr>
              <w:pStyle w:val="BodyText"/>
              <w:jc w:val="both"/>
              <w:rPr>
                <w:rFonts w:cs="Arial"/>
                <w:bCs w:val="0"/>
                <w:sz w:val="24"/>
                <w:u w:val="single"/>
              </w:rPr>
            </w:pPr>
          </w:p>
        </w:tc>
      </w:tr>
      <w:tr w:rsidR="00770655" w:rsidRPr="00D9707A" w:rsidTr="00547CDC">
        <w:trPr>
          <w:trHeight w:val="520"/>
        </w:trPr>
        <w:tc>
          <w:tcPr>
            <w:tcW w:w="4973" w:type="dxa"/>
            <w:tcBorders>
              <w:top w:val="single" w:sz="4" w:space="0" w:color="808080"/>
              <w:left w:val="single" w:sz="4" w:space="0" w:color="808080"/>
              <w:bottom w:val="single" w:sz="4" w:space="0" w:color="808080"/>
              <w:right w:val="single" w:sz="4" w:space="0" w:color="808080"/>
            </w:tcBorders>
            <w:shd w:val="clear" w:color="auto" w:fill="C0C0C0"/>
            <w:vAlign w:val="center"/>
          </w:tcPr>
          <w:p w:rsidR="00770655" w:rsidRPr="00D9707A" w:rsidRDefault="00770655">
            <w:pPr>
              <w:pStyle w:val="BodyText"/>
              <w:jc w:val="left"/>
              <w:rPr>
                <w:rFonts w:cs="Arial"/>
                <w:sz w:val="24"/>
              </w:rPr>
            </w:pPr>
            <w:r w:rsidRPr="00D9707A">
              <w:rPr>
                <w:rFonts w:cs="Arial"/>
                <w:sz w:val="24"/>
              </w:rPr>
              <w:t>Review Type</w:t>
            </w:r>
          </w:p>
        </w:tc>
        <w:tc>
          <w:tcPr>
            <w:tcW w:w="5234" w:type="dxa"/>
            <w:tcBorders>
              <w:top w:val="single" w:sz="4" w:space="0" w:color="808080"/>
              <w:left w:val="single" w:sz="4" w:space="0" w:color="808080"/>
              <w:bottom w:val="single" w:sz="4" w:space="0" w:color="808080"/>
              <w:right w:val="single" w:sz="4" w:space="0" w:color="808080"/>
            </w:tcBorders>
            <w:shd w:val="clear" w:color="auto" w:fill="C0C0C0"/>
            <w:vAlign w:val="center"/>
          </w:tcPr>
          <w:p w:rsidR="00770655" w:rsidRPr="00D9707A" w:rsidRDefault="00770655">
            <w:pPr>
              <w:pStyle w:val="BodyText"/>
              <w:jc w:val="left"/>
              <w:rPr>
                <w:rFonts w:cs="Arial"/>
                <w:sz w:val="24"/>
              </w:rPr>
            </w:pPr>
            <w:r w:rsidRPr="00D9707A">
              <w:rPr>
                <w:rFonts w:cs="Arial"/>
                <w:sz w:val="24"/>
              </w:rPr>
              <w:t xml:space="preserve">Frequency </w:t>
            </w:r>
          </w:p>
        </w:tc>
      </w:tr>
      <w:tr w:rsidR="00770655" w:rsidRPr="00D9707A" w:rsidTr="00547CDC">
        <w:trPr>
          <w:trHeight w:val="517"/>
        </w:trPr>
        <w:tc>
          <w:tcPr>
            <w:tcW w:w="4973" w:type="dxa"/>
            <w:tcBorders>
              <w:top w:val="single" w:sz="4" w:space="0" w:color="808080"/>
              <w:left w:val="single" w:sz="4" w:space="0" w:color="808080"/>
              <w:bottom w:val="single" w:sz="4" w:space="0" w:color="808080"/>
              <w:right w:val="single" w:sz="4" w:space="0" w:color="808080"/>
            </w:tcBorders>
            <w:vAlign w:val="center"/>
          </w:tcPr>
          <w:p w:rsidR="00770655" w:rsidRPr="00D9707A" w:rsidRDefault="00770655">
            <w:pPr>
              <w:pStyle w:val="BodyText"/>
              <w:jc w:val="left"/>
              <w:rPr>
                <w:rFonts w:cs="Arial"/>
                <w:b w:val="0"/>
                <w:sz w:val="24"/>
              </w:rPr>
            </w:pPr>
            <w:r w:rsidRPr="00D9707A">
              <w:rPr>
                <w:rFonts w:cs="Arial"/>
                <w:b w:val="0"/>
                <w:sz w:val="24"/>
              </w:rPr>
              <w:t xml:space="preserve">LDA </w:t>
            </w:r>
          </w:p>
        </w:tc>
        <w:tc>
          <w:tcPr>
            <w:tcW w:w="5234" w:type="dxa"/>
            <w:tcBorders>
              <w:top w:val="single" w:sz="4" w:space="0" w:color="808080"/>
              <w:left w:val="single" w:sz="4" w:space="0" w:color="808080"/>
              <w:bottom w:val="single" w:sz="4" w:space="0" w:color="808080"/>
              <w:right w:val="single" w:sz="4" w:space="0" w:color="808080"/>
            </w:tcBorders>
            <w:vAlign w:val="center"/>
          </w:tcPr>
          <w:p w:rsidR="00770655" w:rsidRPr="00D9707A" w:rsidRDefault="00770655">
            <w:pPr>
              <w:pStyle w:val="BodyText"/>
              <w:jc w:val="left"/>
              <w:rPr>
                <w:rFonts w:cs="Arial"/>
                <w:b w:val="0"/>
                <w:sz w:val="24"/>
              </w:rPr>
            </w:pPr>
            <w:r w:rsidRPr="00D9707A">
              <w:rPr>
                <w:rFonts w:cs="Arial"/>
                <w:b w:val="0"/>
                <w:sz w:val="24"/>
              </w:rPr>
              <w:t>Annual Review</w:t>
            </w:r>
          </w:p>
        </w:tc>
      </w:tr>
      <w:tr w:rsidR="00770655" w:rsidRPr="00D9707A" w:rsidTr="00547CDC">
        <w:trPr>
          <w:trHeight w:val="517"/>
        </w:trPr>
        <w:tc>
          <w:tcPr>
            <w:tcW w:w="4973" w:type="dxa"/>
            <w:tcBorders>
              <w:top w:val="single" w:sz="4" w:space="0" w:color="808080"/>
              <w:left w:val="single" w:sz="4" w:space="0" w:color="808080"/>
              <w:bottom w:val="single" w:sz="4" w:space="0" w:color="808080"/>
              <w:right w:val="single" w:sz="4" w:space="0" w:color="808080"/>
            </w:tcBorders>
            <w:vAlign w:val="center"/>
          </w:tcPr>
          <w:p w:rsidR="00770655" w:rsidRPr="00D9707A" w:rsidRDefault="00770655">
            <w:pPr>
              <w:pStyle w:val="BodyText"/>
              <w:jc w:val="left"/>
              <w:rPr>
                <w:rFonts w:cs="Arial"/>
                <w:b w:val="0"/>
                <w:sz w:val="24"/>
              </w:rPr>
            </w:pPr>
            <w:r w:rsidRPr="00D9707A">
              <w:rPr>
                <w:rFonts w:cs="Arial"/>
                <w:b w:val="0"/>
                <w:sz w:val="24"/>
              </w:rPr>
              <w:t xml:space="preserve">Quality Monitoring Visits </w:t>
            </w:r>
          </w:p>
        </w:tc>
        <w:tc>
          <w:tcPr>
            <w:tcW w:w="5234" w:type="dxa"/>
            <w:tcBorders>
              <w:top w:val="single" w:sz="4" w:space="0" w:color="808080"/>
              <w:left w:val="single" w:sz="4" w:space="0" w:color="808080"/>
              <w:bottom w:val="single" w:sz="4" w:space="0" w:color="808080"/>
              <w:right w:val="single" w:sz="4" w:space="0" w:color="808080"/>
            </w:tcBorders>
            <w:vAlign w:val="center"/>
          </w:tcPr>
          <w:p w:rsidR="00770655" w:rsidRPr="00D9707A" w:rsidRDefault="00770655">
            <w:pPr>
              <w:pStyle w:val="BodyText"/>
              <w:jc w:val="left"/>
              <w:rPr>
                <w:rFonts w:cs="Arial"/>
                <w:b w:val="0"/>
                <w:sz w:val="24"/>
              </w:rPr>
            </w:pPr>
            <w:r w:rsidRPr="00D9707A">
              <w:rPr>
                <w:rFonts w:cs="Arial"/>
                <w:b w:val="0"/>
                <w:sz w:val="24"/>
              </w:rPr>
              <w:t>Trust and School Visits (Various)</w:t>
            </w:r>
          </w:p>
        </w:tc>
      </w:tr>
    </w:tbl>
    <w:p w:rsidR="007F0F5D" w:rsidRPr="00D9707A" w:rsidRDefault="007F0F5D">
      <w:pPr>
        <w:jc w:val="both"/>
        <w:rPr>
          <w:rFonts w:cs="Arial"/>
          <w:sz w:val="24"/>
        </w:rPr>
      </w:pPr>
    </w:p>
    <w:p w:rsidR="00EA62A6" w:rsidRPr="00D9707A" w:rsidRDefault="00EA62A6" w:rsidP="00B6634D">
      <w:pPr>
        <w:jc w:val="right"/>
        <w:rPr>
          <w:rFonts w:cs="Arial"/>
          <w:sz w:val="24"/>
        </w:rPr>
      </w:pPr>
    </w:p>
    <w:p w:rsidR="00EA62A6" w:rsidRPr="00D9707A" w:rsidRDefault="00EA62A6" w:rsidP="00B6634D">
      <w:pPr>
        <w:jc w:val="right"/>
        <w:rPr>
          <w:rFonts w:cs="Arial"/>
          <w:sz w:val="24"/>
        </w:rPr>
      </w:pPr>
    </w:p>
    <w:p w:rsidR="00E31BF2" w:rsidRPr="00D9707A" w:rsidRDefault="00E31BF2" w:rsidP="003D6E02">
      <w:pPr>
        <w:rPr>
          <w:rFonts w:cs="Arial"/>
          <w:sz w:val="24"/>
        </w:rPr>
      </w:pPr>
    </w:p>
    <w:sectPr w:rsidR="00E31BF2" w:rsidRPr="00D9707A" w:rsidSect="00EC25F2">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13" w:rsidRDefault="001C5C13">
      <w:r>
        <w:separator/>
      </w:r>
    </w:p>
  </w:endnote>
  <w:endnote w:type="continuationSeparator" w:id="0">
    <w:p w:rsidR="001C5C13" w:rsidRDefault="001C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66" w:rsidRDefault="00A21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E5" w:rsidRPr="00637199" w:rsidRDefault="002C7BE5" w:rsidP="00637199">
    <w:pPr>
      <w:pStyle w:val="Footer"/>
      <w:jc w:val="center"/>
      <w:rPr>
        <w:rFonts w:cs="Arial"/>
        <w:sz w:val="20"/>
        <w:szCs w:val="20"/>
      </w:rPr>
    </w:pPr>
    <w:r w:rsidRPr="00637199">
      <w:rPr>
        <w:rFonts w:cs="Arial"/>
        <w:sz w:val="20"/>
        <w:szCs w:val="20"/>
      </w:rPr>
      <w:t xml:space="preserve">Page </w:t>
    </w:r>
    <w:r w:rsidR="00D95532" w:rsidRPr="00637199">
      <w:rPr>
        <w:rStyle w:val="PageNumber"/>
        <w:rFonts w:cs="Arial"/>
        <w:sz w:val="20"/>
        <w:szCs w:val="20"/>
      </w:rPr>
      <w:fldChar w:fldCharType="begin"/>
    </w:r>
    <w:r w:rsidRPr="00637199">
      <w:rPr>
        <w:rStyle w:val="PageNumber"/>
        <w:rFonts w:cs="Arial"/>
        <w:sz w:val="20"/>
        <w:szCs w:val="20"/>
      </w:rPr>
      <w:instrText xml:space="preserve"> PAGE </w:instrText>
    </w:r>
    <w:r w:rsidR="00D95532" w:rsidRPr="00637199">
      <w:rPr>
        <w:rStyle w:val="PageNumber"/>
        <w:rFonts w:cs="Arial"/>
        <w:sz w:val="20"/>
        <w:szCs w:val="20"/>
      </w:rPr>
      <w:fldChar w:fldCharType="separate"/>
    </w:r>
    <w:r w:rsidR="00564288">
      <w:rPr>
        <w:rStyle w:val="PageNumber"/>
        <w:rFonts w:cs="Arial"/>
        <w:noProof/>
        <w:sz w:val="20"/>
        <w:szCs w:val="20"/>
      </w:rPr>
      <w:t>1</w:t>
    </w:r>
    <w:r w:rsidR="00D95532" w:rsidRPr="00637199">
      <w:rPr>
        <w:rStyle w:val="PageNumber"/>
        <w:rFonts w:cs="Arial"/>
        <w:sz w:val="20"/>
        <w:szCs w:val="20"/>
      </w:rPr>
      <w:fldChar w:fldCharType="end"/>
    </w:r>
    <w:r w:rsidRPr="00637199">
      <w:rPr>
        <w:rStyle w:val="PageNumber"/>
        <w:rFonts w:cs="Arial"/>
        <w:sz w:val="20"/>
        <w:szCs w:val="20"/>
      </w:rPr>
      <w:t xml:space="preserve"> of </w:t>
    </w:r>
    <w:r w:rsidR="00D95532" w:rsidRPr="00637199">
      <w:rPr>
        <w:rStyle w:val="PageNumber"/>
        <w:rFonts w:cs="Arial"/>
        <w:sz w:val="20"/>
        <w:szCs w:val="20"/>
      </w:rPr>
      <w:fldChar w:fldCharType="begin"/>
    </w:r>
    <w:r w:rsidRPr="00637199">
      <w:rPr>
        <w:rStyle w:val="PageNumber"/>
        <w:rFonts w:cs="Arial"/>
        <w:sz w:val="20"/>
        <w:szCs w:val="20"/>
      </w:rPr>
      <w:instrText xml:space="preserve"> NUMPAGES </w:instrText>
    </w:r>
    <w:r w:rsidR="00D95532" w:rsidRPr="00637199">
      <w:rPr>
        <w:rStyle w:val="PageNumber"/>
        <w:rFonts w:cs="Arial"/>
        <w:sz w:val="20"/>
        <w:szCs w:val="20"/>
      </w:rPr>
      <w:fldChar w:fldCharType="separate"/>
    </w:r>
    <w:r w:rsidR="00564288">
      <w:rPr>
        <w:rStyle w:val="PageNumber"/>
        <w:rFonts w:cs="Arial"/>
        <w:noProof/>
        <w:sz w:val="20"/>
        <w:szCs w:val="20"/>
      </w:rPr>
      <w:t>3</w:t>
    </w:r>
    <w:r w:rsidR="00D95532" w:rsidRPr="00637199">
      <w:rPr>
        <w:rStyle w:val="PageNumbe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66" w:rsidRDefault="00A2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13" w:rsidRDefault="001C5C13">
      <w:r>
        <w:separator/>
      </w:r>
    </w:p>
  </w:footnote>
  <w:footnote w:type="continuationSeparator" w:id="0">
    <w:p w:rsidR="001C5C13" w:rsidRDefault="001C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66" w:rsidRDefault="00A2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99" w:rsidRDefault="00637199">
    <w:pPr>
      <w:pStyle w:val="Header"/>
      <w:jc w:val="right"/>
      <w:rPr>
        <w:sz w:val="20"/>
        <w:szCs w:val="20"/>
      </w:rPr>
    </w:pPr>
    <w:r>
      <w:rPr>
        <w:noProof/>
        <w:lang w:eastAsia="en-GB"/>
      </w:rPr>
      <w:drawing>
        <wp:inline distT="0" distB="0" distL="0" distR="0" wp14:anchorId="770EDF6A" wp14:editId="109DEB09">
          <wp:extent cx="11430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rsidR="002C7BE5" w:rsidRPr="00637199" w:rsidRDefault="00D9707A">
    <w:pPr>
      <w:pStyle w:val="Header"/>
      <w:jc w:val="right"/>
      <w:rPr>
        <w:rFonts w:cs="Arial"/>
        <w:b/>
        <w:bCs/>
        <w:sz w:val="24"/>
      </w:rPr>
    </w:pPr>
    <w:r w:rsidRPr="00637199">
      <w:rPr>
        <w:rFonts w:cs="Arial"/>
        <w:b/>
        <w:bCs/>
        <w:sz w:val="24"/>
      </w:rPr>
      <w:t>SDS:</w:t>
    </w:r>
    <w:r w:rsidR="00A21A66">
      <w:rPr>
        <w:rFonts w:cs="Arial"/>
        <w:b/>
        <w:bCs/>
        <w:sz w:val="24"/>
      </w:rPr>
      <w:t>09</w:t>
    </w:r>
  </w:p>
  <w:p w:rsidR="002C7BE5" w:rsidRDefault="002C7BE5">
    <w:pPr>
      <w:pStyle w:val="Header"/>
      <w:jc w:val="right"/>
      <w:rPr>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66" w:rsidRDefault="00A21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487"/>
    <w:multiLevelType w:val="hybridMultilevel"/>
    <w:tmpl w:val="E7B477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E807C2"/>
    <w:multiLevelType w:val="hybridMultilevel"/>
    <w:tmpl w:val="F5D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31927"/>
    <w:multiLevelType w:val="hybridMultilevel"/>
    <w:tmpl w:val="8426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0251C"/>
    <w:multiLevelType w:val="hybridMultilevel"/>
    <w:tmpl w:val="63F8A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0305D"/>
    <w:multiLevelType w:val="hybridMultilevel"/>
    <w:tmpl w:val="504E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B6145"/>
    <w:multiLevelType w:val="hybridMultilevel"/>
    <w:tmpl w:val="A43E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83443"/>
    <w:multiLevelType w:val="multilevel"/>
    <w:tmpl w:val="BFE41228"/>
    <w:lvl w:ilvl="0">
      <w:start w:val="1"/>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11C324A3"/>
    <w:multiLevelType w:val="hybridMultilevel"/>
    <w:tmpl w:val="63482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57CDC"/>
    <w:multiLevelType w:val="hybridMultilevel"/>
    <w:tmpl w:val="D3C24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AF40EF"/>
    <w:multiLevelType w:val="hybridMultilevel"/>
    <w:tmpl w:val="A68E1E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9CA0CD8"/>
    <w:multiLevelType w:val="hybridMultilevel"/>
    <w:tmpl w:val="B858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DC318D"/>
    <w:multiLevelType w:val="hybridMultilevel"/>
    <w:tmpl w:val="6C0A5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7511A8"/>
    <w:multiLevelType w:val="hybridMultilevel"/>
    <w:tmpl w:val="158A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CD6629"/>
    <w:multiLevelType w:val="hybridMultilevel"/>
    <w:tmpl w:val="13D8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75406"/>
    <w:multiLevelType w:val="hybridMultilevel"/>
    <w:tmpl w:val="620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92425"/>
    <w:multiLevelType w:val="hybridMultilevel"/>
    <w:tmpl w:val="78E69E7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3E22980">
      <w:start w:val="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0842002"/>
    <w:multiLevelType w:val="hybridMultilevel"/>
    <w:tmpl w:val="462A3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1EB7D05"/>
    <w:multiLevelType w:val="hybridMultilevel"/>
    <w:tmpl w:val="182C9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3C62DA2"/>
    <w:multiLevelType w:val="hybridMultilevel"/>
    <w:tmpl w:val="006A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82387A"/>
    <w:multiLevelType w:val="hybridMultilevel"/>
    <w:tmpl w:val="4266C7AA"/>
    <w:lvl w:ilvl="0" w:tplc="04090001">
      <w:start w:val="1"/>
      <w:numFmt w:val="bullet"/>
      <w:lvlText w:val=""/>
      <w:lvlJc w:val="left"/>
      <w:pPr>
        <w:tabs>
          <w:tab w:val="num" w:pos="1281"/>
        </w:tabs>
        <w:ind w:left="1281" w:hanging="360"/>
      </w:pPr>
      <w:rPr>
        <w:rFonts w:ascii="Symbol" w:hAnsi="Symbol" w:hint="default"/>
      </w:rPr>
    </w:lvl>
    <w:lvl w:ilvl="1" w:tplc="0409000F">
      <w:start w:val="1"/>
      <w:numFmt w:val="decimal"/>
      <w:lvlText w:val="%2."/>
      <w:lvlJc w:val="left"/>
      <w:pPr>
        <w:tabs>
          <w:tab w:val="num" w:pos="2001"/>
        </w:tabs>
        <w:ind w:left="2001" w:hanging="360"/>
      </w:p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0">
    <w:nsid w:val="26774ED8"/>
    <w:multiLevelType w:val="hybridMultilevel"/>
    <w:tmpl w:val="D4FE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D60B85"/>
    <w:multiLevelType w:val="hybridMultilevel"/>
    <w:tmpl w:val="31C8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954374"/>
    <w:multiLevelType w:val="multilevel"/>
    <w:tmpl w:val="E0024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8226888"/>
    <w:multiLevelType w:val="hybridMultilevel"/>
    <w:tmpl w:val="DF8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4F733E"/>
    <w:multiLevelType w:val="hybridMultilevel"/>
    <w:tmpl w:val="B4862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2BA52B4"/>
    <w:multiLevelType w:val="multilevel"/>
    <w:tmpl w:val="0002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50556C"/>
    <w:multiLevelType w:val="hybridMultilevel"/>
    <w:tmpl w:val="81EEEF28"/>
    <w:lvl w:ilvl="0" w:tplc="04090001">
      <w:start w:val="1"/>
      <w:numFmt w:val="bullet"/>
      <w:lvlText w:val=""/>
      <w:lvlJc w:val="left"/>
      <w:pPr>
        <w:tabs>
          <w:tab w:val="num" w:pos="720"/>
        </w:tabs>
        <w:ind w:left="720" w:hanging="360"/>
      </w:pPr>
      <w:rPr>
        <w:rFonts w:ascii="Symbol" w:hAnsi="Symbol" w:hint="default"/>
      </w:rPr>
    </w:lvl>
    <w:lvl w:ilvl="1" w:tplc="73E22980">
      <w:start w:val="1"/>
      <w:numFmt w:val="bullet"/>
      <w:lvlText w:val=""/>
      <w:lvlJc w:val="left"/>
      <w:pPr>
        <w:tabs>
          <w:tab w:val="num" w:pos="1363"/>
        </w:tabs>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CD1AF3"/>
    <w:multiLevelType w:val="multilevel"/>
    <w:tmpl w:val="24E616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7A028AE"/>
    <w:multiLevelType w:val="hybridMultilevel"/>
    <w:tmpl w:val="8AFA31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39295C"/>
    <w:multiLevelType w:val="hybridMultilevel"/>
    <w:tmpl w:val="D21E7C32"/>
    <w:lvl w:ilvl="0" w:tplc="73E22980">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30">
    <w:nsid w:val="3A522622"/>
    <w:multiLevelType w:val="hybridMultilevel"/>
    <w:tmpl w:val="28605B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3EDB15C4"/>
    <w:multiLevelType w:val="hybridMultilevel"/>
    <w:tmpl w:val="540CAC1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0927585"/>
    <w:multiLevelType w:val="hybridMultilevel"/>
    <w:tmpl w:val="358ED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0DC6C1D"/>
    <w:multiLevelType w:val="hybridMultilevel"/>
    <w:tmpl w:val="C5F25B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38D3C8E"/>
    <w:multiLevelType w:val="hybridMultilevel"/>
    <w:tmpl w:val="BEBCA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43986976"/>
    <w:multiLevelType w:val="hybridMultilevel"/>
    <w:tmpl w:val="447CBE64"/>
    <w:lvl w:ilvl="0" w:tplc="20B043E6">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7B93A26"/>
    <w:multiLevelType w:val="multilevel"/>
    <w:tmpl w:val="D3C246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8CB66BA"/>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38">
    <w:nsid w:val="4958692E"/>
    <w:multiLevelType w:val="hybridMultilevel"/>
    <w:tmpl w:val="B4E6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B234964"/>
    <w:multiLevelType w:val="hybridMultilevel"/>
    <w:tmpl w:val="95043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11319D6"/>
    <w:multiLevelType w:val="hybridMultilevel"/>
    <w:tmpl w:val="24E616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3F92FE3"/>
    <w:multiLevelType w:val="hybridMultilevel"/>
    <w:tmpl w:val="B1908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743DD6"/>
    <w:multiLevelType w:val="hybridMultilevel"/>
    <w:tmpl w:val="4F6AE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6C7530B"/>
    <w:multiLevelType w:val="hybridMultilevel"/>
    <w:tmpl w:val="082CE11C"/>
    <w:lvl w:ilvl="0" w:tplc="73E2298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98B6B8F"/>
    <w:multiLevelType w:val="hybridMultilevel"/>
    <w:tmpl w:val="244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BD41E59"/>
    <w:multiLevelType w:val="hybridMultilevel"/>
    <w:tmpl w:val="FE3CC6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07C4C07"/>
    <w:multiLevelType w:val="hybridMultilevel"/>
    <w:tmpl w:val="C72E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19A249A"/>
    <w:multiLevelType w:val="hybridMultilevel"/>
    <w:tmpl w:val="DA94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6E5D3B"/>
    <w:multiLevelType w:val="hybridMultilevel"/>
    <w:tmpl w:val="D4B6D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856F91"/>
    <w:multiLevelType w:val="hybridMultilevel"/>
    <w:tmpl w:val="0F6630FE"/>
    <w:lvl w:ilvl="0" w:tplc="73E22980">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50">
    <w:nsid w:val="6BEB5C00"/>
    <w:multiLevelType w:val="hybridMultilevel"/>
    <w:tmpl w:val="6DDE7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nsid w:val="70D60E83"/>
    <w:multiLevelType w:val="hybridMultilevel"/>
    <w:tmpl w:val="57002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2EA51A8"/>
    <w:multiLevelType w:val="hybridMultilevel"/>
    <w:tmpl w:val="825E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53E0CD8"/>
    <w:multiLevelType w:val="hybridMultilevel"/>
    <w:tmpl w:val="F7788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nsid w:val="76E634DB"/>
    <w:multiLevelType w:val="hybridMultilevel"/>
    <w:tmpl w:val="D44E6700"/>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7C117A1A"/>
    <w:multiLevelType w:val="hybridMultilevel"/>
    <w:tmpl w:val="11684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0"/>
  </w:num>
  <w:num w:numId="4">
    <w:abstractNumId w:val="22"/>
  </w:num>
  <w:num w:numId="5">
    <w:abstractNumId w:val="15"/>
  </w:num>
  <w:num w:numId="6">
    <w:abstractNumId w:val="48"/>
  </w:num>
  <w:num w:numId="7">
    <w:abstractNumId w:val="26"/>
  </w:num>
  <w:num w:numId="8">
    <w:abstractNumId w:val="24"/>
  </w:num>
  <w:num w:numId="9">
    <w:abstractNumId w:val="52"/>
  </w:num>
  <w:num w:numId="10">
    <w:abstractNumId w:val="16"/>
  </w:num>
  <w:num w:numId="11">
    <w:abstractNumId w:val="46"/>
  </w:num>
  <w:num w:numId="12">
    <w:abstractNumId w:val="40"/>
  </w:num>
  <w:num w:numId="13">
    <w:abstractNumId w:val="27"/>
  </w:num>
  <w:num w:numId="14">
    <w:abstractNumId w:val="0"/>
  </w:num>
  <w:num w:numId="15">
    <w:abstractNumId w:val="55"/>
  </w:num>
  <w:num w:numId="16">
    <w:abstractNumId w:val="28"/>
  </w:num>
  <w:num w:numId="17">
    <w:abstractNumId w:val="18"/>
  </w:num>
  <w:num w:numId="18">
    <w:abstractNumId w:val="12"/>
  </w:num>
  <w:num w:numId="19">
    <w:abstractNumId w:val="29"/>
  </w:num>
  <w:num w:numId="20">
    <w:abstractNumId w:val="38"/>
  </w:num>
  <w:num w:numId="21">
    <w:abstractNumId w:val="49"/>
  </w:num>
  <w:num w:numId="22">
    <w:abstractNumId w:val="19"/>
  </w:num>
  <w:num w:numId="23">
    <w:abstractNumId w:val="32"/>
  </w:num>
  <w:num w:numId="24">
    <w:abstractNumId w:val="37"/>
  </w:num>
  <w:num w:numId="25">
    <w:abstractNumId w:val="43"/>
  </w:num>
  <w:num w:numId="26">
    <w:abstractNumId w:val="51"/>
  </w:num>
  <w:num w:numId="27">
    <w:abstractNumId w:val="31"/>
  </w:num>
  <w:num w:numId="28">
    <w:abstractNumId w:val="35"/>
  </w:num>
  <w:num w:numId="29">
    <w:abstractNumId w:val="25"/>
  </w:num>
  <w:num w:numId="30">
    <w:abstractNumId w:val="8"/>
  </w:num>
  <w:num w:numId="31">
    <w:abstractNumId w:val="36"/>
  </w:num>
  <w:num w:numId="32">
    <w:abstractNumId w:val="54"/>
  </w:num>
  <w:num w:numId="33">
    <w:abstractNumId w:val="17"/>
  </w:num>
  <w:num w:numId="34">
    <w:abstractNumId w:val="11"/>
  </w:num>
  <w:num w:numId="35">
    <w:abstractNumId w:val="50"/>
  </w:num>
  <w:num w:numId="36">
    <w:abstractNumId w:val="9"/>
  </w:num>
  <w:num w:numId="37">
    <w:abstractNumId w:val="30"/>
  </w:num>
  <w:num w:numId="38">
    <w:abstractNumId w:val="39"/>
  </w:num>
  <w:num w:numId="39">
    <w:abstractNumId w:val="42"/>
  </w:num>
  <w:num w:numId="40">
    <w:abstractNumId w:val="41"/>
  </w:num>
  <w:num w:numId="41">
    <w:abstractNumId w:val="33"/>
  </w:num>
  <w:num w:numId="42">
    <w:abstractNumId w:val="34"/>
  </w:num>
  <w:num w:numId="43">
    <w:abstractNumId w:val="7"/>
  </w:num>
  <w:num w:numId="44">
    <w:abstractNumId w:val="53"/>
  </w:num>
  <w:num w:numId="45">
    <w:abstractNumId w:val="13"/>
  </w:num>
  <w:num w:numId="46">
    <w:abstractNumId w:val="21"/>
  </w:num>
  <w:num w:numId="47">
    <w:abstractNumId w:val="10"/>
  </w:num>
  <w:num w:numId="48">
    <w:abstractNumId w:val="47"/>
  </w:num>
  <w:num w:numId="49">
    <w:abstractNumId w:val="44"/>
  </w:num>
  <w:num w:numId="50">
    <w:abstractNumId w:val="23"/>
  </w:num>
  <w:num w:numId="51">
    <w:abstractNumId w:val="14"/>
  </w:num>
  <w:num w:numId="52">
    <w:abstractNumId w:val="5"/>
  </w:num>
  <w:num w:numId="53">
    <w:abstractNumId w:val="45"/>
  </w:num>
  <w:num w:numId="54">
    <w:abstractNumId w:val="2"/>
  </w:num>
  <w:num w:numId="55">
    <w:abstractNumId w:val="1"/>
  </w:num>
  <w:num w:numId="56">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E"/>
    <w:rsid w:val="000072F5"/>
    <w:rsid w:val="000166A9"/>
    <w:rsid w:val="000202CF"/>
    <w:rsid w:val="00025D19"/>
    <w:rsid w:val="00026476"/>
    <w:rsid w:val="0002680A"/>
    <w:rsid w:val="00040400"/>
    <w:rsid w:val="0004352C"/>
    <w:rsid w:val="00043CCD"/>
    <w:rsid w:val="000557F6"/>
    <w:rsid w:val="00060915"/>
    <w:rsid w:val="0006711E"/>
    <w:rsid w:val="0007378E"/>
    <w:rsid w:val="0008647D"/>
    <w:rsid w:val="00094C99"/>
    <w:rsid w:val="000B4773"/>
    <w:rsid w:val="000B760F"/>
    <w:rsid w:val="000C3CFB"/>
    <w:rsid w:val="000C68F3"/>
    <w:rsid w:val="000D012A"/>
    <w:rsid w:val="000D0799"/>
    <w:rsid w:val="000D5200"/>
    <w:rsid w:val="000E47AD"/>
    <w:rsid w:val="000F2ABC"/>
    <w:rsid w:val="001017AE"/>
    <w:rsid w:val="00114CA1"/>
    <w:rsid w:val="0011554A"/>
    <w:rsid w:val="00134790"/>
    <w:rsid w:val="00136D43"/>
    <w:rsid w:val="00145860"/>
    <w:rsid w:val="00146046"/>
    <w:rsid w:val="0016177E"/>
    <w:rsid w:val="00180479"/>
    <w:rsid w:val="00183441"/>
    <w:rsid w:val="0019607A"/>
    <w:rsid w:val="001C314D"/>
    <w:rsid w:val="001C5C13"/>
    <w:rsid w:val="001D7B70"/>
    <w:rsid w:val="001E5B76"/>
    <w:rsid w:val="001F1C43"/>
    <w:rsid w:val="001F5138"/>
    <w:rsid w:val="002172BF"/>
    <w:rsid w:val="00223DEB"/>
    <w:rsid w:val="002377EA"/>
    <w:rsid w:val="0025756A"/>
    <w:rsid w:val="002624E1"/>
    <w:rsid w:val="002659B3"/>
    <w:rsid w:val="002811A5"/>
    <w:rsid w:val="002A1225"/>
    <w:rsid w:val="002B44BC"/>
    <w:rsid w:val="002C56B1"/>
    <w:rsid w:val="002C7BE5"/>
    <w:rsid w:val="002D6B9A"/>
    <w:rsid w:val="002F10B5"/>
    <w:rsid w:val="00306BE3"/>
    <w:rsid w:val="00314629"/>
    <w:rsid w:val="00315147"/>
    <w:rsid w:val="00323F92"/>
    <w:rsid w:val="00335170"/>
    <w:rsid w:val="00340EB8"/>
    <w:rsid w:val="0035189E"/>
    <w:rsid w:val="003542EE"/>
    <w:rsid w:val="003629C9"/>
    <w:rsid w:val="0036340C"/>
    <w:rsid w:val="00371BA9"/>
    <w:rsid w:val="003950E6"/>
    <w:rsid w:val="00395D51"/>
    <w:rsid w:val="003B55E0"/>
    <w:rsid w:val="003C6C53"/>
    <w:rsid w:val="003D0703"/>
    <w:rsid w:val="003D6E02"/>
    <w:rsid w:val="003E7473"/>
    <w:rsid w:val="00401E8F"/>
    <w:rsid w:val="00406C04"/>
    <w:rsid w:val="00411415"/>
    <w:rsid w:val="00426888"/>
    <w:rsid w:val="004455C9"/>
    <w:rsid w:val="00462F68"/>
    <w:rsid w:val="004674B3"/>
    <w:rsid w:val="00474022"/>
    <w:rsid w:val="00477F6C"/>
    <w:rsid w:val="00483164"/>
    <w:rsid w:val="004851AB"/>
    <w:rsid w:val="00496077"/>
    <w:rsid w:val="00497EAD"/>
    <w:rsid w:val="004A042D"/>
    <w:rsid w:val="004A14B5"/>
    <w:rsid w:val="004D6DC5"/>
    <w:rsid w:val="00500262"/>
    <w:rsid w:val="00503852"/>
    <w:rsid w:val="00514C3B"/>
    <w:rsid w:val="00514F11"/>
    <w:rsid w:val="005258B1"/>
    <w:rsid w:val="0052601D"/>
    <w:rsid w:val="005407B8"/>
    <w:rsid w:val="00543887"/>
    <w:rsid w:val="00547CDC"/>
    <w:rsid w:val="00556A46"/>
    <w:rsid w:val="00564288"/>
    <w:rsid w:val="00565927"/>
    <w:rsid w:val="00572443"/>
    <w:rsid w:val="00574846"/>
    <w:rsid w:val="005772A6"/>
    <w:rsid w:val="005776F5"/>
    <w:rsid w:val="00581DD5"/>
    <w:rsid w:val="005838C6"/>
    <w:rsid w:val="00586DC7"/>
    <w:rsid w:val="005966D9"/>
    <w:rsid w:val="005B7AEE"/>
    <w:rsid w:val="005D7C7C"/>
    <w:rsid w:val="005E6D0B"/>
    <w:rsid w:val="00611AD9"/>
    <w:rsid w:val="0062139F"/>
    <w:rsid w:val="0063076F"/>
    <w:rsid w:val="00637199"/>
    <w:rsid w:val="00652D0B"/>
    <w:rsid w:val="0066158F"/>
    <w:rsid w:val="0066478B"/>
    <w:rsid w:val="00666EB0"/>
    <w:rsid w:val="00667171"/>
    <w:rsid w:val="006773AA"/>
    <w:rsid w:val="00683495"/>
    <w:rsid w:val="00683CDB"/>
    <w:rsid w:val="0068590D"/>
    <w:rsid w:val="006B2851"/>
    <w:rsid w:val="006B29CC"/>
    <w:rsid w:val="006C541E"/>
    <w:rsid w:val="006C7C26"/>
    <w:rsid w:val="006D3466"/>
    <w:rsid w:val="006E4B2F"/>
    <w:rsid w:val="006E7942"/>
    <w:rsid w:val="007322F8"/>
    <w:rsid w:val="00740255"/>
    <w:rsid w:val="00740D22"/>
    <w:rsid w:val="00750A2D"/>
    <w:rsid w:val="00755860"/>
    <w:rsid w:val="00770655"/>
    <w:rsid w:val="007751C5"/>
    <w:rsid w:val="00782510"/>
    <w:rsid w:val="00786E11"/>
    <w:rsid w:val="00787948"/>
    <w:rsid w:val="007963DA"/>
    <w:rsid w:val="00796756"/>
    <w:rsid w:val="007A58C3"/>
    <w:rsid w:val="007B356B"/>
    <w:rsid w:val="007B6D2C"/>
    <w:rsid w:val="007F0F5D"/>
    <w:rsid w:val="007F5667"/>
    <w:rsid w:val="008014A1"/>
    <w:rsid w:val="00811CFA"/>
    <w:rsid w:val="00815503"/>
    <w:rsid w:val="00824E8E"/>
    <w:rsid w:val="00825870"/>
    <w:rsid w:val="00826438"/>
    <w:rsid w:val="0082792C"/>
    <w:rsid w:val="0084284A"/>
    <w:rsid w:val="00842A7A"/>
    <w:rsid w:val="00843996"/>
    <w:rsid w:val="00850DB9"/>
    <w:rsid w:val="00852500"/>
    <w:rsid w:val="0085611D"/>
    <w:rsid w:val="00867229"/>
    <w:rsid w:val="00885538"/>
    <w:rsid w:val="008A5BF3"/>
    <w:rsid w:val="008C2878"/>
    <w:rsid w:val="008D0667"/>
    <w:rsid w:val="008E2C6E"/>
    <w:rsid w:val="008E681C"/>
    <w:rsid w:val="008F3EA3"/>
    <w:rsid w:val="00906662"/>
    <w:rsid w:val="0091574D"/>
    <w:rsid w:val="00935CD2"/>
    <w:rsid w:val="009379B1"/>
    <w:rsid w:val="00951AD7"/>
    <w:rsid w:val="00977E1C"/>
    <w:rsid w:val="009955E2"/>
    <w:rsid w:val="009B6026"/>
    <w:rsid w:val="009C2144"/>
    <w:rsid w:val="009C5517"/>
    <w:rsid w:val="009E6139"/>
    <w:rsid w:val="009F5BEE"/>
    <w:rsid w:val="009F6E03"/>
    <w:rsid w:val="00A207C7"/>
    <w:rsid w:val="00A21A66"/>
    <w:rsid w:val="00A31511"/>
    <w:rsid w:val="00A40088"/>
    <w:rsid w:val="00A41863"/>
    <w:rsid w:val="00A508F7"/>
    <w:rsid w:val="00A55423"/>
    <w:rsid w:val="00A60E8C"/>
    <w:rsid w:val="00A6153E"/>
    <w:rsid w:val="00A669AD"/>
    <w:rsid w:val="00A711BB"/>
    <w:rsid w:val="00A75B68"/>
    <w:rsid w:val="00A80479"/>
    <w:rsid w:val="00A930D3"/>
    <w:rsid w:val="00AA5D37"/>
    <w:rsid w:val="00AB2F60"/>
    <w:rsid w:val="00AD0182"/>
    <w:rsid w:val="00AD13FE"/>
    <w:rsid w:val="00AD1AC6"/>
    <w:rsid w:val="00AE39EC"/>
    <w:rsid w:val="00AF0041"/>
    <w:rsid w:val="00AF6946"/>
    <w:rsid w:val="00B06BB3"/>
    <w:rsid w:val="00B15546"/>
    <w:rsid w:val="00B244A1"/>
    <w:rsid w:val="00B32985"/>
    <w:rsid w:val="00B3522B"/>
    <w:rsid w:val="00B41F39"/>
    <w:rsid w:val="00B44FDC"/>
    <w:rsid w:val="00B524EC"/>
    <w:rsid w:val="00B52AFE"/>
    <w:rsid w:val="00B6201E"/>
    <w:rsid w:val="00B6634D"/>
    <w:rsid w:val="00B91D57"/>
    <w:rsid w:val="00BA5142"/>
    <w:rsid w:val="00BD4F9B"/>
    <w:rsid w:val="00BD7200"/>
    <w:rsid w:val="00BE52A7"/>
    <w:rsid w:val="00BF102E"/>
    <w:rsid w:val="00C01D3F"/>
    <w:rsid w:val="00C350FB"/>
    <w:rsid w:val="00C509FA"/>
    <w:rsid w:val="00C50D8D"/>
    <w:rsid w:val="00C65B35"/>
    <w:rsid w:val="00C70004"/>
    <w:rsid w:val="00C90CB6"/>
    <w:rsid w:val="00C95C2B"/>
    <w:rsid w:val="00CA54D5"/>
    <w:rsid w:val="00CB4D19"/>
    <w:rsid w:val="00CC3037"/>
    <w:rsid w:val="00CC47CA"/>
    <w:rsid w:val="00CC5C5D"/>
    <w:rsid w:val="00CF2E3B"/>
    <w:rsid w:val="00CF3EE4"/>
    <w:rsid w:val="00CF622B"/>
    <w:rsid w:val="00D03735"/>
    <w:rsid w:val="00D05676"/>
    <w:rsid w:val="00D24A57"/>
    <w:rsid w:val="00D26C79"/>
    <w:rsid w:val="00D3427D"/>
    <w:rsid w:val="00D34A08"/>
    <w:rsid w:val="00D45647"/>
    <w:rsid w:val="00D459CC"/>
    <w:rsid w:val="00D525DE"/>
    <w:rsid w:val="00D55F0A"/>
    <w:rsid w:val="00D72EAC"/>
    <w:rsid w:val="00D8641B"/>
    <w:rsid w:val="00D9033B"/>
    <w:rsid w:val="00D94943"/>
    <w:rsid w:val="00D95532"/>
    <w:rsid w:val="00D9707A"/>
    <w:rsid w:val="00DA34CE"/>
    <w:rsid w:val="00DC7FEA"/>
    <w:rsid w:val="00DD0A92"/>
    <w:rsid w:val="00DD22C1"/>
    <w:rsid w:val="00DD59C7"/>
    <w:rsid w:val="00DF7C7C"/>
    <w:rsid w:val="00E159C9"/>
    <w:rsid w:val="00E25258"/>
    <w:rsid w:val="00E31BF2"/>
    <w:rsid w:val="00E32419"/>
    <w:rsid w:val="00E40975"/>
    <w:rsid w:val="00E47580"/>
    <w:rsid w:val="00E51109"/>
    <w:rsid w:val="00E61FEF"/>
    <w:rsid w:val="00E64AAF"/>
    <w:rsid w:val="00E7084C"/>
    <w:rsid w:val="00E768DF"/>
    <w:rsid w:val="00E76B5C"/>
    <w:rsid w:val="00E85635"/>
    <w:rsid w:val="00E93A05"/>
    <w:rsid w:val="00EA4EE4"/>
    <w:rsid w:val="00EA62A6"/>
    <w:rsid w:val="00EB66A2"/>
    <w:rsid w:val="00EC130D"/>
    <w:rsid w:val="00EC25F2"/>
    <w:rsid w:val="00ED2B62"/>
    <w:rsid w:val="00EE41FC"/>
    <w:rsid w:val="00EE7F6D"/>
    <w:rsid w:val="00F419A2"/>
    <w:rsid w:val="00F511E7"/>
    <w:rsid w:val="00F57537"/>
    <w:rsid w:val="00F64DDF"/>
    <w:rsid w:val="00F741EF"/>
    <w:rsid w:val="00F74693"/>
    <w:rsid w:val="00F91FF3"/>
    <w:rsid w:val="00F922EC"/>
    <w:rsid w:val="00F93C17"/>
    <w:rsid w:val="00F96BF7"/>
    <w:rsid w:val="00FA3B5A"/>
    <w:rsid w:val="00FA75C4"/>
    <w:rsid w:val="00FB36F8"/>
    <w:rsid w:val="00FB62FB"/>
    <w:rsid w:val="00FC7079"/>
    <w:rsid w:val="00FD0CBA"/>
    <w:rsid w:val="00FD45E3"/>
    <w:rsid w:val="00FE572B"/>
    <w:rsid w:val="00FE6F31"/>
    <w:rsid w:val="00FF2B11"/>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6B1"/>
    <w:rPr>
      <w:rFonts w:ascii="Arial" w:hAnsi="Arial"/>
      <w:sz w:val="22"/>
      <w:szCs w:val="24"/>
      <w:lang w:eastAsia="en-US"/>
    </w:rPr>
  </w:style>
  <w:style w:type="paragraph" w:styleId="Heading1">
    <w:name w:val="heading 1"/>
    <w:basedOn w:val="Normal"/>
    <w:next w:val="Normal"/>
    <w:qFormat/>
    <w:pPr>
      <w:keepNext/>
      <w:tabs>
        <w:tab w:val="left" w:pos="0"/>
      </w:tabs>
      <w:jc w:val="both"/>
      <w:outlineLvl w:val="0"/>
    </w:pPr>
    <w:rPr>
      <w:rFonts w:ascii="Times New Roman" w:hAnsi="Times New Roman"/>
      <w:sz w:val="24"/>
    </w:rPr>
  </w:style>
  <w:style w:type="paragraph" w:styleId="Heading2">
    <w:name w:val="heading 2"/>
    <w:basedOn w:val="Normal"/>
    <w:next w:val="Normal"/>
    <w:qFormat/>
    <w:rsid w:val="00E31BF2"/>
    <w:pPr>
      <w:keepNext/>
      <w:spacing w:before="240" w:after="60"/>
      <w:outlineLvl w:val="1"/>
    </w:pPr>
    <w:rPr>
      <w:rFonts w:cs="Arial"/>
      <w:b/>
      <w:bCs/>
      <w:i/>
      <w:iCs/>
      <w:sz w:val="28"/>
      <w:szCs w:val="28"/>
    </w:rPr>
  </w:style>
  <w:style w:type="paragraph" w:styleId="Heading3">
    <w:name w:val="heading 3"/>
    <w:basedOn w:val="Normal"/>
    <w:next w:val="Normal"/>
    <w:qFormat/>
    <w:rsid w:val="00E31BF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paragraph" w:customStyle="1" w:styleId="01-Bullet4-BB">
    <w:name w:val="01-Bullet4-BB"/>
    <w:basedOn w:val="Normal"/>
    <w:pPr>
      <w:numPr>
        <w:numId w:val="1"/>
      </w:numPr>
      <w:tabs>
        <w:tab w:val="num" w:pos="3240"/>
      </w:tabs>
      <w:spacing w:line="360" w:lineRule="auto"/>
      <w:ind w:left="3238" w:hanging="358"/>
      <w:jc w:val="both"/>
    </w:pPr>
    <w:rPr>
      <w:rFonts w:cs="Arial"/>
      <w:szCs w:val="22"/>
    </w:rPr>
  </w:style>
  <w:style w:type="paragraph" w:customStyle="1" w:styleId="01-NormInd5-BB">
    <w:name w:val="01-NormInd5-BB"/>
    <w:basedOn w:val="Normal"/>
    <w:pPr>
      <w:numPr>
        <w:ilvl w:val="1"/>
        <w:numId w:val="1"/>
      </w:numPr>
      <w:spacing w:line="360" w:lineRule="auto"/>
      <w:ind w:left="2880"/>
      <w:jc w:val="both"/>
    </w:pPr>
    <w:rPr>
      <w:rFonts w:cs="Arial"/>
      <w:szCs w:val="22"/>
    </w:rPr>
  </w:style>
  <w:style w:type="paragraph" w:customStyle="1" w:styleId="01-Bullet5-BB">
    <w:name w:val="01-Bullet5-BB"/>
    <w:basedOn w:val="01-NormInd5-BB"/>
    <w:pPr>
      <w:numPr>
        <w:ilvl w:val="2"/>
      </w:numPr>
      <w:tabs>
        <w:tab w:val="num" w:pos="3240"/>
      </w:tabs>
      <w:ind w:left="3238" w:hanging="358"/>
    </w:pPr>
  </w:style>
  <w:style w:type="paragraph" w:customStyle="1" w:styleId="01-Level1-BB">
    <w:name w:val="01-Level1-BB"/>
    <w:basedOn w:val="Normal"/>
    <w:next w:val="Normal"/>
    <w:pPr>
      <w:numPr>
        <w:ilvl w:val="3"/>
        <w:numId w:val="1"/>
      </w:numPr>
      <w:tabs>
        <w:tab w:val="num" w:pos="840"/>
      </w:tabs>
      <w:spacing w:line="360" w:lineRule="auto"/>
      <w:ind w:left="840" w:hanging="720"/>
      <w:jc w:val="both"/>
    </w:pPr>
    <w:rPr>
      <w:rFonts w:cs="Arial"/>
      <w:b/>
      <w:bCs/>
      <w:szCs w:val="22"/>
    </w:rPr>
  </w:style>
  <w:style w:type="paragraph" w:customStyle="1" w:styleId="01-Level2-BB">
    <w:name w:val="01-Level2-BB"/>
    <w:basedOn w:val="Normal"/>
    <w:next w:val="Normal"/>
    <w:pPr>
      <w:numPr>
        <w:ilvl w:val="4"/>
        <w:numId w:val="1"/>
      </w:numPr>
      <w:tabs>
        <w:tab w:val="num" w:pos="2040"/>
      </w:tabs>
      <w:spacing w:line="360" w:lineRule="auto"/>
      <w:ind w:left="2040" w:hanging="720"/>
      <w:jc w:val="both"/>
    </w:pPr>
    <w:rPr>
      <w:rFonts w:cs="Arial"/>
      <w:szCs w:val="22"/>
    </w:rPr>
  </w:style>
  <w:style w:type="paragraph" w:customStyle="1" w:styleId="01-NormInd1-BB">
    <w:name w:val="01-NormInd1-BB"/>
    <w:basedOn w:val="Normal"/>
    <w:pPr>
      <w:spacing w:line="360" w:lineRule="auto"/>
      <w:ind w:left="720"/>
      <w:jc w:val="both"/>
    </w:pPr>
    <w:rPr>
      <w:rFonts w:cs="Arial"/>
      <w:szCs w:val="22"/>
    </w:rPr>
  </w:style>
  <w:style w:type="paragraph" w:customStyle="1" w:styleId="01-NormInd2-BB">
    <w:name w:val="01-NormInd2-BB"/>
    <w:basedOn w:val="Normal"/>
    <w:pPr>
      <w:spacing w:line="360" w:lineRule="auto"/>
      <w:ind w:left="1440"/>
      <w:jc w:val="both"/>
    </w:pPr>
    <w:rPr>
      <w:rFonts w:cs="Arial"/>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szCs w:val="22"/>
    </w:rPr>
  </w:style>
  <w:style w:type="paragraph" w:customStyle="1" w:styleId="CharCharCharCharCharCharCharCharChar1CharCharCharChar">
    <w:name w:val="Char Char Char Char Char Char Char Char Char1 Char Char Char Char"/>
    <w:basedOn w:val="Normal"/>
    <w:pPr>
      <w:spacing w:after="120" w:line="240" w:lineRule="exact"/>
    </w:pPr>
    <w:rPr>
      <w:rFonts w:ascii="Verdana" w:hAnsi="Verdana" w:cs="Verdana"/>
      <w:sz w:val="20"/>
      <w:szCs w:val="20"/>
      <w:lang w:val="en-US"/>
    </w:rPr>
  </w:style>
  <w:style w:type="paragraph" w:styleId="ListParagraph">
    <w:name w:val="List Paragraph"/>
    <w:basedOn w:val="Normal"/>
    <w:uiPriority w:val="34"/>
    <w:qFormat/>
    <w:pPr>
      <w:ind w:left="720"/>
    </w:pPr>
    <w:rPr>
      <w:rFonts w:cs="Arial"/>
      <w:szCs w:val="22"/>
    </w:rPr>
  </w:style>
  <w:style w:type="character" w:styleId="Hyperlink">
    <w:name w:val="Hyperlink"/>
    <w:rPr>
      <w:color w:val="0000FF"/>
      <w:u w:val="single"/>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paragraph" w:customStyle="1" w:styleId="Achievement">
    <w:name w:val="Achievement"/>
    <w:basedOn w:val="Normal"/>
    <w:pPr>
      <w:numPr>
        <w:numId w:val="24"/>
      </w:numPr>
    </w:pPr>
    <w:rPr>
      <w:rFonts w:ascii="Garamond" w:hAnsi="Garamond"/>
      <w:sz w:val="24"/>
      <w:szCs w:val="20"/>
    </w:rPr>
  </w:style>
  <w:style w:type="table" w:styleId="TableGrid">
    <w:name w:val="Table Grid"/>
    <w:basedOn w:val="TableNormal"/>
    <w:rsid w:val="00C9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31BF2"/>
    <w:rPr>
      <w:sz w:val="20"/>
      <w:szCs w:val="20"/>
      <w:lang w:val="x-none"/>
    </w:rPr>
  </w:style>
  <w:style w:type="character" w:styleId="CommentReference">
    <w:name w:val="annotation reference"/>
    <w:rsid w:val="006B29CC"/>
    <w:rPr>
      <w:sz w:val="16"/>
      <w:szCs w:val="16"/>
    </w:rPr>
  </w:style>
  <w:style w:type="paragraph" w:styleId="CommentSubject">
    <w:name w:val="annotation subject"/>
    <w:basedOn w:val="CommentText"/>
    <w:next w:val="CommentText"/>
    <w:link w:val="CommentSubjectChar"/>
    <w:rsid w:val="006B29CC"/>
    <w:rPr>
      <w:b/>
      <w:bCs/>
    </w:rPr>
  </w:style>
  <w:style w:type="character" w:customStyle="1" w:styleId="CommentTextChar">
    <w:name w:val="Comment Text Char"/>
    <w:link w:val="CommentText"/>
    <w:semiHidden/>
    <w:rsid w:val="006B29CC"/>
    <w:rPr>
      <w:rFonts w:ascii="Arial" w:hAnsi="Arial" w:cs="Arial"/>
      <w:lang w:eastAsia="en-US"/>
    </w:rPr>
  </w:style>
  <w:style w:type="character" w:customStyle="1" w:styleId="CommentSubjectChar">
    <w:name w:val="Comment Subject Char"/>
    <w:basedOn w:val="CommentTextChar"/>
    <w:link w:val="CommentSubject"/>
    <w:rsid w:val="006B29CC"/>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6B1"/>
    <w:rPr>
      <w:rFonts w:ascii="Arial" w:hAnsi="Arial"/>
      <w:sz w:val="22"/>
      <w:szCs w:val="24"/>
      <w:lang w:eastAsia="en-US"/>
    </w:rPr>
  </w:style>
  <w:style w:type="paragraph" w:styleId="Heading1">
    <w:name w:val="heading 1"/>
    <w:basedOn w:val="Normal"/>
    <w:next w:val="Normal"/>
    <w:qFormat/>
    <w:pPr>
      <w:keepNext/>
      <w:tabs>
        <w:tab w:val="left" w:pos="0"/>
      </w:tabs>
      <w:jc w:val="both"/>
      <w:outlineLvl w:val="0"/>
    </w:pPr>
    <w:rPr>
      <w:rFonts w:ascii="Times New Roman" w:hAnsi="Times New Roman"/>
      <w:sz w:val="24"/>
    </w:rPr>
  </w:style>
  <w:style w:type="paragraph" w:styleId="Heading2">
    <w:name w:val="heading 2"/>
    <w:basedOn w:val="Normal"/>
    <w:next w:val="Normal"/>
    <w:qFormat/>
    <w:rsid w:val="00E31BF2"/>
    <w:pPr>
      <w:keepNext/>
      <w:spacing w:before="240" w:after="60"/>
      <w:outlineLvl w:val="1"/>
    </w:pPr>
    <w:rPr>
      <w:rFonts w:cs="Arial"/>
      <w:b/>
      <w:bCs/>
      <w:i/>
      <w:iCs/>
      <w:sz w:val="28"/>
      <w:szCs w:val="28"/>
    </w:rPr>
  </w:style>
  <w:style w:type="paragraph" w:styleId="Heading3">
    <w:name w:val="heading 3"/>
    <w:basedOn w:val="Normal"/>
    <w:next w:val="Normal"/>
    <w:qFormat/>
    <w:rsid w:val="00E31BF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paragraph" w:customStyle="1" w:styleId="01-Bullet4-BB">
    <w:name w:val="01-Bullet4-BB"/>
    <w:basedOn w:val="Normal"/>
    <w:pPr>
      <w:numPr>
        <w:numId w:val="1"/>
      </w:numPr>
      <w:tabs>
        <w:tab w:val="num" w:pos="3240"/>
      </w:tabs>
      <w:spacing w:line="360" w:lineRule="auto"/>
      <w:ind w:left="3238" w:hanging="358"/>
      <w:jc w:val="both"/>
    </w:pPr>
    <w:rPr>
      <w:rFonts w:cs="Arial"/>
      <w:szCs w:val="22"/>
    </w:rPr>
  </w:style>
  <w:style w:type="paragraph" w:customStyle="1" w:styleId="01-NormInd5-BB">
    <w:name w:val="01-NormInd5-BB"/>
    <w:basedOn w:val="Normal"/>
    <w:pPr>
      <w:numPr>
        <w:ilvl w:val="1"/>
        <w:numId w:val="1"/>
      </w:numPr>
      <w:spacing w:line="360" w:lineRule="auto"/>
      <w:ind w:left="2880"/>
      <w:jc w:val="both"/>
    </w:pPr>
    <w:rPr>
      <w:rFonts w:cs="Arial"/>
      <w:szCs w:val="22"/>
    </w:rPr>
  </w:style>
  <w:style w:type="paragraph" w:customStyle="1" w:styleId="01-Bullet5-BB">
    <w:name w:val="01-Bullet5-BB"/>
    <w:basedOn w:val="01-NormInd5-BB"/>
    <w:pPr>
      <w:numPr>
        <w:ilvl w:val="2"/>
      </w:numPr>
      <w:tabs>
        <w:tab w:val="num" w:pos="3240"/>
      </w:tabs>
      <w:ind w:left="3238" w:hanging="358"/>
    </w:pPr>
  </w:style>
  <w:style w:type="paragraph" w:customStyle="1" w:styleId="01-Level1-BB">
    <w:name w:val="01-Level1-BB"/>
    <w:basedOn w:val="Normal"/>
    <w:next w:val="Normal"/>
    <w:pPr>
      <w:numPr>
        <w:ilvl w:val="3"/>
        <w:numId w:val="1"/>
      </w:numPr>
      <w:tabs>
        <w:tab w:val="num" w:pos="840"/>
      </w:tabs>
      <w:spacing w:line="360" w:lineRule="auto"/>
      <w:ind w:left="840" w:hanging="720"/>
      <w:jc w:val="both"/>
    </w:pPr>
    <w:rPr>
      <w:rFonts w:cs="Arial"/>
      <w:b/>
      <w:bCs/>
      <w:szCs w:val="22"/>
    </w:rPr>
  </w:style>
  <w:style w:type="paragraph" w:customStyle="1" w:styleId="01-Level2-BB">
    <w:name w:val="01-Level2-BB"/>
    <w:basedOn w:val="Normal"/>
    <w:next w:val="Normal"/>
    <w:pPr>
      <w:numPr>
        <w:ilvl w:val="4"/>
        <w:numId w:val="1"/>
      </w:numPr>
      <w:tabs>
        <w:tab w:val="num" w:pos="2040"/>
      </w:tabs>
      <w:spacing w:line="360" w:lineRule="auto"/>
      <w:ind w:left="2040" w:hanging="720"/>
      <w:jc w:val="both"/>
    </w:pPr>
    <w:rPr>
      <w:rFonts w:cs="Arial"/>
      <w:szCs w:val="22"/>
    </w:rPr>
  </w:style>
  <w:style w:type="paragraph" w:customStyle="1" w:styleId="01-NormInd1-BB">
    <w:name w:val="01-NormInd1-BB"/>
    <w:basedOn w:val="Normal"/>
    <w:pPr>
      <w:spacing w:line="360" w:lineRule="auto"/>
      <w:ind w:left="720"/>
      <w:jc w:val="both"/>
    </w:pPr>
    <w:rPr>
      <w:rFonts w:cs="Arial"/>
      <w:szCs w:val="22"/>
    </w:rPr>
  </w:style>
  <w:style w:type="paragraph" w:customStyle="1" w:styleId="01-NormInd2-BB">
    <w:name w:val="01-NormInd2-BB"/>
    <w:basedOn w:val="Normal"/>
    <w:pPr>
      <w:spacing w:line="360" w:lineRule="auto"/>
      <w:ind w:left="1440"/>
      <w:jc w:val="both"/>
    </w:pPr>
    <w:rPr>
      <w:rFonts w:cs="Arial"/>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szCs w:val="22"/>
    </w:rPr>
  </w:style>
  <w:style w:type="paragraph" w:customStyle="1" w:styleId="CharCharCharCharCharCharCharCharChar1CharCharCharChar">
    <w:name w:val="Char Char Char Char Char Char Char Char Char1 Char Char Char Char"/>
    <w:basedOn w:val="Normal"/>
    <w:pPr>
      <w:spacing w:after="120" w:line="240" w:lineRule="exact"/>
    </w:pPr>
    <w:rPr>
      <w:rFonts w:ascii="Verdana" w:hAnsi="Verdana" w:cs="Verdana"/>
      <w:sz w:val="20"/>
      <w:szCs w:val="20"/>
      <w:lang w:val="en-US"/>
    </w:rPr>
  </w:style>
  <w:style w:type="paragraph" w:styleId="ListParagraph">
    <w:name w:val="List Paragraph"/>
    <w:basedOn w:val="Normal"/>
    <w:uiPriority w:val="34"/>
    <w:qFormat/>
    <w:pPr>
      <w:ind w:left="720"/>
    </w:pPr>
    <w:rPr>
      <w:rFonts w:cs="Arial"/>
      <w:szCs w:val="22"/>
    </w:rPr>
  </w:style>
  <w:style w:type="character" w:styleId="Hyperlink">
    <w:name w:val="Hyperlink"/>
    <w:rPr>
      <w:color w:val="0000FF"/>
      <w:u w:val="single"/>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paragraph" w:customStyle="1" w:styleId="Achievement">
    <w:name w:val="Achievement"/>
    <w:basedOn w:val="Normal"/>
    <w:pPr>
      <w:numPr>
        <w:numId w:val="24"/>
      </w:numPr>
    </w:pPr>
    <w:rPr>
      <w:rFonts w:ascii="Garamond" w:hAnsi="Garamond"/>
      <w:sz w:val="24"/>
      <w:szCs w:val="20"/>
    </w:rPr>
  </w:style>
  <w:style w:type="table" w:styleId="TableGrid">
    <w:name w:val="Table Grid"/>
    <w:basedOn w:val="TableNormal"/>
    <w:rsid w:val="00C9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31BF2"/>
    <w:rPr>
      <w:sz w:val="20"/>
      <w:szCs w:val="20"/>
      <w:lang w:val="x-none"/>
    </w:rPr>
  </w:style>
  <w:style w:type="character" w:styleId="CommentReference">
    <w:name w:val="annotation reference"/>
    <w:rsid w:val="006B29CC"/>
    <w:rPr>
      <w:sz w:val="16"/>
      <w:szCs w:val="16"/>
    </w:rPr>
  </w:style>
  <w:style w:type="paragraph" w:styleId="CommentSubject">
    <w:name w:val="annotation subject"/>
    <w:basedOn w:val="CommentText"/>
    <w:next w:val="CommentText"/>
    <w:link w:val="CommentSubjectChar"/>
    <w:rsid w:val="006B29CC"/>
    <w:rPr>
      <w:b/>
      <w:bCs/>
    </w:rPr>
  </w:style>
  <w:style w:type="character" w:customStyle="1" w:styleId="CommentTextChar">
    <w:name w:val="Comment Text Char"/>
    <w:link w:val="CommentText"/>
    <w:semiHidden/>
    <w:rsid w:val="006B29CC"/>
    <w:rPr>
      <w:rFonts w:ascii="Arial" w:hAnsi="Arial" w:cs="Arial"/>
      <w:lang w:eastAsia="en-US"/>
    </w:rPr>
  </w:style>
  <w:style w:type="character" w:customStyle="1" w:styleId="CommentSubjectChar">
    <w:name w:val="Comment Subject Char"/>
    <w:basedOn w:val="CommentTextChar"/>
    <w:link w:val="CommentSubject"/>
    <w:rsid w:val="006B29C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929">
      <w:bodyDiv w:val="1"/>
      <w:marLeft w:val="0"/>
      <w:marRight w:val="0"/>
      <w:marTop w:val="0"/>
      <w:marBottom w:val="0"/>
      <w:divBdr>
        <w:top w:val="none" w:sz="0" w:space="0" w:color="auto"/>
        <w:left w:val="none" w:sz="0" w:space="0" w:color="auto"/>
        <w:bottom w:val="none" w:sz="0" w:space="0" w:color="auto"/>
        <w:right w:val="none" w:sz="0" w:space="0" w:color="auto"/>
      </w:divBdr>
    </w:div>
    <w:div w:id="618757810">
      <w:bodyDiv w:val="1"/>
      <w:marLeft w:val="0"/>
      <w:marRight w:val="0"/>
      <w:marTop w:val="0"/>
      <w:marBottom w:val="0"/>
      <w:divBdr>
        <w:top w:val="none" w:sz="0" w:space="0" w:color="auto"/>
        <w:left w:val="none" w:sz="0" w:space="0" w:color="auto"/>
        <w:bottom w:val="none" w:sz="0" w:space="0" w:color="auto"/>
        <w:right w:val="none" w:sz="0" w:space="0" w:color="auto"/>
      </w:divBdr>
    </w:div>
    <w:div w:id="903492751">
      <w:bodyDiv w:val="1"/>
      <w:marLeft w:val="0"/>
      <w:marRight w:val="0"/>
      <w:marTop w:val="0"/>
      <w:marBottom w:val="0"/>
      <w:divBdr>
        <w:top w:val="none" w:sz="0" w:space="0" w:color="auto"/>
        <w:left w:val="none" w:sz="0" w:space="0" w:color="auto"/>
        <w:bottom w:val="none" w:sz="0" w:space="0" w:color="auto"/>
        <w:right w:val="none" w:sz="0" w:space="0" w:color="auto"/>
      </w:divBdr>
    </w:div>
    <w:div w:id="1455060700">
      <w:bodyDiv w:val="1"/>
      <w:marLeft w:val="0"/>
      <w:marRight w:val="0"/>
      <w:marTop w:val="0"/>
      <w:marBottom w:val="0"/>
      <w:divBdr>
        <w:top w:val="none" w:sz="0" w:space="0" w:color="auto"/>
        <w:left w:val="none" w:sz="0" w:space="0" w:color="auto"/>
        <w:bottom w:val="none" w:sz="0" w:space="0" w:color="auto"/>
        <w:right w:val="none" w:sz="0" w:space="0" w:color="auto"/>
      </w:divBdr>
    </w:div>
    <w:div w:id="18540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F15F-D376-47D0-A8EF-2036981E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SERVICE SPECIFICATION TEMPLATE – GUIDANCE NOTES FOR COMPLETION</vt:lpstr>
    </vt:vector>
  </TitlesOfParts>
  <Company>NHIS</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TEMPLATE – GUIDANCE NOTES FOR COMPLETION</dc:title>
  <dc:creator>IT</dc:creator>
  <cp:lastModifiedBy>Bishop Sarah</cp:lastModifiedBy>
  <cp:revision>2</cp:revision>
  <cp:lastPrinted>2014-08-20T07:03:00Z</cp:lastPrinted>
  <dcterms:created xsi:type="dcterms:W3CDTF">2015-02-25T14:26:00Z</dcterms:created>
  <dcterms:modified xsi:type="dcterms:W3CDTF">2015-02-25T14:26:00Z</dcterms:modified>
</cp:coreProperties>
</file>