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53" w:rsidRDefault="002F7E53" w:rsidP="002F7E53">
      <w:pPr>
        <w:tabs>
          <w:tab w:val="center" w:pos="5040"/>
          <w:tab w:val="right" w:pos="9900"/>
        </w:tabs>
      </w:pPr>
      <w:r>
        <w:t xml:space="preserve"> </w:t>
      </w:r>
      <w:r>
        <w:tab/>
      </w:r>
      <w:r>
        <w:tab/>
      </w:r>
    </w:p>
    <w:p w:rsidR="002F7E53" w:rsidRDefault="002F7E53" w:rsidP="002F7E53">
      <w:pPr>
        <w:jc w:val="center"/>
        <w:rPr>
          <w:rFonts w:cs="Arial"/>
          <w:b/>
          <w:sz w:val="28"/>
          <w:szCs w:val="28"/>
        </w:rPr>
      </w:pPr>
    </w:p>
    <w:p w:rsidR="002F7E53" w:rsidRDefault="002F7E53" w:rsidP="002F7E53">
      <w:pPr>
        <w:jc w:val="center"/>
        <w:rPr>
          <w:rFonts w:cs="Arial"/>
          <w:b/>
          <w:sz w:val="28"/>
          <w:szCs w:val="28"/>
        </w:rPr>
      </w:pPr>
      <w:r>
        <w:rPr>
          <w:rFonts w:cs="Arial"/>
          <w:b/>
          <w:sz w:val="28"/>
          <w:szCs w:val="28"/>
        </w:rPr>
        <w:t>East Anglia Foundation School</w:t>
      </w:r>
    </w:p>
    <w:p w:rsidR="002F7E53" w:rsidRDefault="002F7E53" w:rsidP="002F7E53">
      <w:pPr>
        <w:jc w:val="center"/>
        <w:rPr>
          <w:rFonts w:cs="Arial"/>
          <w:b/>
          <w:sz w:val="28"/>
          <w:szCs w:val="28"/>
        </w:rPr>
      </w:pPr>
      <w:r>
        <w:rPr>
          <w:rFonts w:cs="Arial"/>
          <w:b/>
          <w:sz w:val="28"/>
          <w:szCs w:val="28"/>
        </w:rPr>
        <w:t xml:space="preserve">Individual Placement Description </w:t>
      </w:r>
    </w:p>
    <w:p w:rsidR="002F7E53" w:rsidRDefault="002F7E53" w:rsidP="002F7E53">
      <w:pPr>
        <w:jc w:val="center"/>
        <w:rPr>
          <w:rFonts w:cs="Arial"/>
          <w:b/>
          <w:sz w:val="28"/>
          <w:szCs w:val="28"/>
        </w:rPr>
      </w:pPr>
    </w:p>
    <w:p w:rsidR="002F7E53" w:rsidRDefault="002F7E53" w:rsidP="002F7E53">
      <w:pPr>
        <w:jc w:val="center"/>
        <w:rPr>
          <w:rFonts w:cs="Arial"/>
          <w:b/>
          <w:sz w:val="28"/>
          <w:szCs w:val="28"/>
        </w:rPr>
      </w:pPr>
      <w:r>
        <w:rPr>
          <w:rFonts w:cs="Arial"/>
          <w:b/>
          <w:sz w:val="28"/>
          <w:szCs w:val="28"/>
        </w:rPr>
        <w:t>Cambridge University Hospitals NHS Foundation Trust</w:t>
      </w:r>
    </w:p>
    <w:p w:rsidR="002F7E53" w:rsidRDefault="002F7E53" w:rsidP="002F7E53">
      <w:pPr>
        <w:rPr>
          <w:rFonts w:cs="Arial"/>
          <w:b/>
          <w:sz w:val="22"/>
          <w:szCs w:val="22"/>
        </w:rPr>
      </w:pPr>
    </w:p>
    <w:p w:rsidR="002F7E53" w:rsidRDefault="002F7E53" w:rsidP="002F7E53">
      <w:pPr>
        <w:rPr>
          <w:rFonts w:cs="Arial"/>
          <w:sz w:val="22"/>
          <w:szCs w:val="22"/>
        </w:rPr>
      </w:pPr>
      <w:proofErr w:type="gramStart"/>
      <w:r>
        <w:rPr>
          <w:rFonts w:cs="Arial"/>
          <w:sz w:val="22"/>
          <w:szCs w:val="22"/>
        </w:rPr>
        <w:t>All information to be completed by the Foundation School.</w:t>
      </w:r>
      <w:proofErr w:type="gramEnd"/>
    </w:p>
    <w:p w:rsidR="002F7E53" w:rsidRDefault="002F7E53" w:rsidP="002F7E53">
      <w:pPr>
        <w:rPr>
          <w:rFonts w:cs="Arial"/>
          <w:b/>
          <w:sz w:val="22"/>
          <w:szCs w:val="22"/>
        </w:rPr>
      </w:pPr>
    </w:p>
    <w:tbl>
      <w:tblPr>
        <w:tblW w:w="8028" w:type="dxa"/>
        <w:tblLook w:val="01E0" w:firstRow="1" w:lastRow="1" w:firstColumn="1" w:lastColumn="1" w:noHBand="0" w:noVBand="0"/>
      </w:tblPr>
      <w:tblGrid>
        <w:gridCol w:w="3851"/>
        <w:gridCol w:w="4177"/>
      </w:tblGrid>
      <w:tr w:rsidR="002F7E53" w:rsidTr="002F7E53">
        <w:trPr>
          <w:trHeight w:val="144"/>
        </w:trPr>
        <w:tc>
          <w:tcPr>
            <w:tcW w:w="3851" w:type="dxa"/>
            <w:hideMark/>
          </w:tcPr>
          <w:p w:rsidR="002F7E53" w:rsidRDefault="002F7E53">
            <w:pPr>
              <w:spacing w:line="276" w:lineRule="auto"/>
              <w:jc w:val="both"/>
              <w:rPr>
                <w:rFonts w:cs="Arial"/>
                <w:b/>
                <w:lang w:val="en-US" w:eastAsia="en-US"/>
              </w:rPr>
            </w:pPr>
            <w:r>
              <w:rPr>
                <w:rFonts w:cs="Arial"/>
                <w:b/>
                <w:sz w:val="22"/>
                <w:szCs w:val="22"/>
              </w:rPr>
              <w:t>Placement</w:t>
            </w:r>
          </w:p>
        </w:tc>
        <w:tc>
          <w:tcPr>
            <w:tcW w:w="4177" w:type="dxa"/>
          </w:tcPr>
          <w:p w:rsidR="002F7E53" w:rsidRDefault="002F7E53">
            <w:pPr>
              <w:spacing w:line="276" w:lineRule="auto"/>
              <w:jc w:val="both"/>
              <w:rPr>
                <w:rFonts w:cs="Arial"/>
                <w:lang w:val="en-US"/>
              </w:rPr>
            </w:pPr>
          </w:p>
          <w:p w:rsidR="002F7E53" w:rsidRDefault="002F7E53">
            <w:pPr>
              <w:spacing w:line="276" w:lineRule="auto"/>
              <w:jc w:val="both"/>
              <w:rPr>
                <w:rFonts w:cs="Arial"/>
                <w:lang w:val="en-US" w:eastAsia="en-US"/>
              </w:rPr>
            </w:pPr>
            <w:r>
              <w:rPr>
                <w:rFonts w:cs="Arial"/>
              </w:rPr>
              <w:t>F2 NCCU</w:t>
            </w:r>
          </w:p>
        </w:tc>
      </w:tr>
      <w:tr w:rsidR="002F7E53" w:rsidTr="002F7E53">
        <w:trPr>
          <w:trHeight w:val="144"/>
        </w:trPr>
        <w:tc>
          <w:tcPr>
            <w:tcW w:w="3851" w:type="dxa"/>
            <w:hideMark/>
          </w:tcPr>
          <w:p w:rsidR="002F7E53" w:rsidRDefault="002F7E53">
            <w:pPr>
              <w:spacing w:line="276" w:lineRule="auto"/>
              <w:rPr>
                <w:rFonts w:cs="Arial"/>
                <w:b/>
                <w:lang w:val="en-US" w:eastAsia="en-US"/>
              </w:rPr>
            </w:pPr>
            <w:r>
              <w:rPr>
                <w:rFonts w:cs="Arial"/>
                <w:b/>
                <w:sz w:val="22"/>
                <w:szCs w:val="22"/>
              </w:rPr>
              <w:t>The department</w:t>
            </w:r>
          </w:p>
        </w:tc>
        <w:tc>
          <w:tcPr>
            <w:tcW w:w="4177" w:type="dxa"/>
          </w:tcPr>
          <w:p w:rsidR="002F7E53" w:rsidRDefault="002F7E53">
            <w:pPr>
              <w:spacing w:line="276" w:lineRule="auto"/>
              <w:rPr>
                <w:rFonts w:cs="Arial"/>
                <w:lang w:val="en-US"/>
              </w:rPr>
            </w:pPr>
            <w:r>
              <w:rPr>
                <w:rFonts w:cs="Arial"/>
              </w:rPr>
              <w:t xml:space="preserve">NCCU is a 20 bed specialist Neuroscience intensive care unit, It accepts all patients with a ‘neuroscience diagnosis including major trauma, It also takes about 25% general intensive care admissions. It is a tertiary referral service for neurosurgery and trauma within the east of England and a large number of admissions are </w:t>
            </w:r>
            <w:proofErr w:type="gramStart"/>
            <w:r>
              <w:rPr>
                <w:rFonts w:cs="Arial"/>
              </w:rPr>
              <w:t>inter</w:t>
            </w:r>
            <w:proofErr w:type="gramEnd"/>
            <w:r>
              <w:rPr>
                <w:rFonts w:cs="Arial"/>
              </w:rPr>
              <w:t xml:space="preserve"> hospital transfers. It will also form a key component of the new Trauma centre at Addenbrookes. </w:t>
            </w:r>
          </w:p>
          <w:p w:rsidR="002F7E53" w:rsidRDefault="002F7E53">
            <w:pPr>
              <w:spacing w:line="276" w:lineRule="auto"/>
              <w:rPr>
                <w:rFonts w:cs="Arial"/>
                <w:lang w:val="en-US" w:eastAsia="en-US"/>
              </w:rPr>
            </w:pPr>
          </w:p>
        </w:tc>
      </w:tr>
      <w:tr w:rsidR="002F7E53" w:rsidTr="002F7E53">
        <w:trPr>
          <w:trHeight w:val="144"/>
        </w:trPr>
        <w:tc>
          <w:tcPr>
            <w:tcW w:w="3851" w:type="dxa"/>
            <w:hideMark/>
          </w:tcPr>
          <w:p w:rsidR="002F7E53" w:rsidRDefault="002F7E53">
            <w:pPr>
              <w:spacing w:line="276" w:lineRule="auto"/>
              <w:rPr>
                <w:rFonts w:cs="Arial"/>
                <w:b/>
                <w:lang w:val="en-US" w:eastAsia="en-US"/>
              </w:rPr>
            </w:pPr>
            <w:r>
              <w:rPr>
                <w:rFonts w:cs="Arial"/>
                <w:b/>
                <w:sz w:val="22"/>
                <w:szCs w:val="22"/>
              </w:rPr>
              <w:t>The type of work to expect and learning opportunities</w:t>
            </w:r>
          </w:p>
        </w:tc>
        <w:tc>
          <w:tcPr>
            <w:tcW w:w="4177" w:type="dxa"/>
            <w:hideMark/>
          </w:tcPr>
          <w:p w:rsidR="002F7E53" w:rsidRDefault="002F7E53">
            <w:pPr>
              <w:spacing w:line="276" w:lineRule="auto"/>
              <w:rPr>
                <w:rFonts w:cs="Arial"/>
              </w:rPr>
            </w:pPr>
            <w:r>
              <w:rPr>
                <w:rFonts w:cs="Arial"/>
              </w:rPr>
              <w:t xml:space="preserve">You will be involved in the day to day business of the department, clerking admissions, joining ward rounds, practical procedures and administrative duties. You will work closely with the registrar and consultant on the ICU. You will have the opportunity to gain an understanding of advanced airway management, cardiovascular support, invasive monitoring, </w:t>
            </w:r>
            <w:proofErr w:type="gramStart"/>
            <w:r>
              <w:rPr>
                <w:rFonts w:cs="Arial"/>
              </w:rPr>
              <w:t>renal</w:t>
            </w:r>
            <w:proofErr w:type="gramEnd"/>
            <w:r>
              <w:rPr>
                <w:rFonts w:cs="Arial"/>
              </w:rPr>
              <w:t xml:space="preserve"> replacement therapy. Management of major trauma and traumatic brain injury. The use of multi modal brain monitoring systems is standard. </w:t>
            </w:r>
          </w:p>
          <w:p w:rsidR="002F7E53" w:rsidRDefault="002F7E53">
            <w:pPr>
              <w:spacing w:line="276" w:lineRule="auto"/>
              <w:rPr>
                <w:rFonts w:cs="Arial"/>
              </w:rPr>
            </w:pPr>
          </w:p>
          <w:p w:rsidR="002F7E53" w:rsidRDefault="002F7E53">
            <w:pPr>
              <w:spacing w:line="276" w:lineRule="auto"/>
              <w:rPr>
                <w:rFonts w:cs="Arial"/>
              </w:rPr>
            </w:pPr>
          </w:p>
          <w:p w:rsidR="002F7E53" w:rsidRDefault="002F7E53">
            <w:pPr>
              <w:spacing w:line="276" w:lineRule="auto"/>
              <w:rPr>
                <w:rFonts w:cs="Arial"/>
              </w:rPr>
            </w:pPr>
          </w:p>
          <w:p w:rsidR="002F7E53" w:rsidRDefault="002F7E53">
            <w:pPr>
              <w:spacing w:line="276" w:lineRule="auto"/>
              <w:rPr>
                <w:rFonts w:cs="Arial"/>
                <w:lang w:val="en-US" w:eastAsia="en-US"/>
              </w:rPr>
            </w:pPr>
            <w:bookmarkStart w:id="0" w:name="_GoBack"/>
            <w:bookmarkEnd w:id="0"/>
            <w:r>
              <w:rPr>
                <w:rFonts w:cs="Arial"/>
              </w:rPr>
              <w:lastRenderedPageBreak/>
              <w:t xml:space="preserve">You will have the opportunity to gain competence in advanced vascular access techniques such as arterial and central line insertion and dialysis line placement as well as advanced airway management and ventilation. </w:t>
            </w:r>
          </w:p>
        </w:tc>
      </w:tr>
      <w:tr w:rsidR="002F7E53" w:rsidTr="002F7E53">
        <w:trPr>
          <w:trHeight w:val="144"/>
        </w:trPr>
        <w:tc>
          <w:tcPr>
            <w:tcW w:w="3851" w:type="dxa"/>
            <w:hideMark/>
          </w:tcPr>
          <w:p w:rsidR="002F7E53" w:rsidRDefault="002F7E53">
            <w:pPr>
              <w:spacing w:line="276" w:lineRule="auto"/>
              <w:jc w:val="both"/>
              <w:rPr>
                <w:rFonts w:cs="Arial"/>
                <w:b/>
                <w:lang w:val="en-US" w:eastAsia="en-US"/>
              </w:rPr>
            </w:pPr>
            <w:r>
              <w:rPr>
                <w:rFonts w:cs="Arial"/>
                <w:b/>
                <w:sz w:val="22"/>
                <w:szCs w:val="22"/>
              </w:rPr>
              <w:lastRenderedPageBreak/>
              <w:t>Where the placement is based</w:t>
            </w:r>
          </w:p>
        </w:tc>
        <w:tc>
          <w:tcPr>
            <w:tcW w:w="4177" w:type="dxa"/>
          </w:tcPr>
          <w:p w:rsidR="002F7E53" w:rsidRDefault="002F7E53">
            <w:pPr>
              <w:spacing w:line="276" w:lineRule="auto"/>
              <w:jc w:val="both"/>
              <w:rPr>
                <w:rFonts w:cs="Arial"/>
                <w:lang w:val="en-US"/>
              </w:rPr>
            </w:pPr>
            <w:r>
              <w:rPr>
                <w:rFonts w:cs="Arial"/>
              </w:rPr>
              <w:t>Neuroscience Critical Care Unit</w:t>
            </w:r>
          </w:p>
          <w:p w:rsidR="002F7E53" w:rsidRDefault="002F7E53">
            <w:pPr>
              <w:spacing w:line="276" w:lineRule="auto"/>
              <w:jc w:val="both"/>
              <w:rPr>
                <w:rFonts w:cs="Arial"/>
                <w:lang w:val="en-US" w:eastAsia="en-US"/>
              </w:rPr>
            </w:pPr>
          </w:p>
        </w:tc>
      </w:tr>
      <w:tr w:rsidR="002F7E53" w:rsidTr="002F7E53">
        <w:trPr>
          <w:trHeight w:val="144"/>
        </w:trPr>
        <w:tc>
          <w:tcPr>
            <w:tcW w:w="3851" w:type="dxa"/>
            <w:hideMark/>
          </w:tcPr>
          <w:p w:rsidR="002F7E53" w:rsidRDefault="002F7E53">
            <w:pPr>
              <w:spacing w:line="276" w:lineRule="auto"/>
              <w:jc w:val="both"/>
              <w:rPr>
                <w:rFonts w:cs="Arial"/>
                <w:b/>
                <w:lang w:val="en-US" w:eastAsia="en-US"/>
              </w:rPr>
            </w:pPr>
            <w:r>
              <w:rPr>
                <w:rFonts w:cs="Arial"/>
                <w:b/>
                <w:sz w:val="22"/>
                <w:szCs w:val="22"/>
              </w:rPr>
              <w:t>Clinical Supervisor(s) for the placement</w:t>
            </w:r>
          </w:p>
        </w:tc>
        <w:tc>
          <w:tcPr>
            <w:tcW w:w="4177" w:type="dxa"/>
          </w:tcPr>
          <w:p w:rsidR="002F7E53" w:rsidRDefault="002F7E53">
            <w:pPr>
              <w:spacing w:line="276" w:lineRule="auto"/>
              <w:jc w:val="both"/>
              <w:rPr>
                <w:rFonts w:cs="Arial"/>
                <w:lang w:val="en-US"/>
              </w:rPr>
            </w:pPr>
            <w:r>
              <w:rPr>
                <w:rFonts w:cs="Arial"/>
                <w:sz w:val="22"/>
                <w:szCs w:val="22"/>
              </w:rPr>
              <w:t xml:space="preserve">Dr R </w:t>
            </w:r>
            <w:proofErr w:type="spellStart"/>
            <w:r>
              <w:rPr>
                <w:rFonts w:cs="Arial"/>
                <w:sz w:val="22"/>
                <w:szCs w:val="22"/>
              </w:rPr>
              <w:t>Burnstein</w:t>
            </w:r>
            <w:proofErr w:type="spellEnd"/>
          </w:p>
          <w:p w:rsidR="002F7E53" w:rsidRDefault="002F7E53">
            <w:pPr>
              <w:spacing w:line="276" w:lineRule="auto"/>
              <w:jc w:val="both"/>
              <w:rPr>
                <w:rFonts w:cs="Arial"/>
                <w:lang w:val="en-US" w:eastAsia="en-US"/>
              </w:rPr>
            </w:pPr>
          </w:p>
        </w:tc>
      </w:tr>
      <w:tr w:rsidR="002F7E53" w:rsidTr="002F7E53">
        <w:trPr>
          <w:trHeight w:val="144"/>
        </w:trPr>
        <w:tc>
          <w:tcPr>
            <w:tcW w:w="3851" w:type="dxa"/>
            <w:hideMark/>
          </w:tcPr>
          <w:p w:rsidR="002F7E53" w:rsidRDefault="002F7E53">
            <w:pPr>
              <w:spacing w:line="276" w:lineRule="auto"/>
              <w:rPr>
                <w:rFonts w:cs="Arial"/>
                <w:b/>
                <w:lang w:val="en-US" w:eastAsia="en-US"/>
              </w:rPr>
            </w:pPr>
            <w:r>
              <w:rPr>
                <w:rFonts w:cs="Arial"/>
                <w:b/>
                <w:sz w:val="22"/>
                <w:szCs w:val="22"/>
              </w:rPr>
              <w:t>Main duties of the placement</w:t>
            </w:r>
          </w:p>
        </w:tc>
        <w:tc>
          <w:tcPr>
            <w:tcW w:w="4177" w:type="dxa"/>
            <w:hideMark/>
          </w:tcPr>
          <w:p w:rsidR="002F7E53" w:rsidRDefault="002F7E53">
            <w:pPr>
              <w:spacing w:line="276" w:lineRule="auto"/>
              <w:jc w:val="both"/>
              <w:rPr>
                <w:rFonts w:cs="Arial"/>
                <w:lang w:val="en-US" w:eastAsia="en-US"/>
              </w:rPr>
            </w:pPr>
            <w:r>
              <w:rPr>
                <w:rFonts w:cs="Arial"/>
              </w:rPr>
              <w:t>During normal working hours you will be expected to join the ward rounds, perform practical procedures and administrative tasks. You will have responsibility for individual patients during the day and work closely with the consultant to devise management plans. Out of hours duties are not necessarily based on the NCCU. All of the F2s in Neuroscience are on the same on call rota and during the week out of hours on call and night shifts will cover ward patients within the neuroscience division. If you are on call during the day at the weekend you may be either covering the neuroscience wards or based on NCCU on a rotating fashion.</w:t>
            </w:r>
          </w:p>
        </w:tc>
      </w:tr>
      <w:tr w:rsidR="002F7E53" w:rsidTr="002F7E53">
        <w:trPr>
          <w:trHeight w:val="144"/>
        </w:trPr>
        <w:tc>
          <w:tcPr>
            <w:tcW w:w="3851" w:type="dxa"/>
            <w:hideMark/>
          </w:tcPr>
          <w:p w:rsidR="002F7E53" w:rsidRDefault="002F7E53">
            <w:pPr>
              <w:spacing w:line="276" w:lineRule="auto"/>
              <w:jc w:val="both"/>
              <w:rPr>
                <w:rFonts w:cs="Arial"/>
                <w:b/>
                <w:lang w:val="en-US" w:eastAsia="en-US"/>
              </w:rPr>
            </w:pPr>
            <w:r>
              <w:rPr>
                <w:rFonts w:cs="Arial"/>
                <w:b/>
                <w:sz w:val="22"/>
                <w:szCs w:val="22"/>
              </w:rPr>
              <w:t>Typical working pattern in this placement</w:t>
            </w:r>
          </w:p>
        </w:tc>
        <w:tc>
          <w:tcPr>
            <w:tcW w:w="4177" w:type="dxa"/>
            <w:hideMark/>
          </w:tcPr>
          <w:p w:rsidR="002F7E53" w:rsidRDefault="002F7E53">
            <w:pPr>
              <w:spacing w:line="276" w:lineRule="auto"/>
              <w:rPr>
                <w:rFonts w:cs="Arial"/>
                <w:lang w:val="en-US" w:eastAsia="en-US"/>
              </w:rPr>
            </w:pPr>
            <w:r>
              <w:rPr>
                <w:rFonts w:cs="Arial"/>
                <w:sz w:val="22"/>
                <w:szCs w:val="22"/>
              </w:rPr>
              <w:t xml:space="preserve">.   </w:t>
            </w:r>
          </w:p>
        </w:tc>
      </w:tr>
      <w:tr w:rsidR="002F7E53" w:rsidTr="002F7E53">
        <w:trPr>
          <w:trHeight w:val="144"/>
        </w:trPr>
        <w:tc>
          <w:tcPr>
            <w:tcW w:w="3851" w:type="dxa"/>
            <w:hideMark/>
          </w:tcPr>
          <w:p w:rsidR="002F7E53" w:rsidRDefault="002F7E53">
            <w:pPr>
              <w:spacing w:line="276" w:lineRule="auto"/>
              <w:rPr>
                <w:rFonts w:cs="Arial"/>
                <w:b/>
                <w:lang w:val="en-US" w:eastAsia="en-US"/>
              </w:rPr>
            </w:pPr>
            <w:r>
              <w:rPr>
                <w:rFonts w:cs="Arial"/>
                <w:b/>
                <w:sz w:val="22"/>
                <w:szCs w:val="22"/>
              </w:rPr>
              <w:t>Employer information</w:t>
            </w:r>
          </w:p>
        </w:tc>
        <w:tc>
          <w:tcPr>
            <w:tcW w:w="4177" w:type="dxa"/>
          </w:tcPr>
          <w:p w:rsidR="002F7E53" w:rsidRDefault="002F7E53">
            <w:pPr>
              <w:pStyle w:val="BodyText"/>
              <w:spacing w:line="276" w:lineRule="auto"/>
              <w:rPr>
                <w:rFonts w:ascii="Arial" w:hAnsi="Arial" w:cs="Arial"/>
                <w:szCs w:val="22"/>
              </w:rPr>
            </w:pPr>
            <w:r>
              <w:rPr>
                <w:rFonts w:ascii="Arial" w:hAnsi="Arial" w:cs="Arial"/>
                <w:szCs w:val="22"/>
              </w:rPr>
              <w:t xml:space="preserve">Employer is Addenbrookes Trust </w:t>
            </w:r>
          </w:p>
          <w:p w:rsidR="002F7E53" w:rsidRDefault="002F7E53">
            <w:pPr>
              <w:pStyle w:val="BodyText"/>
              <w:spacing w:line="276" w:lineRule="auto"/>
              <w:rPr>
                <w:rFonts w:ascii="Arial" w:hAnsi="Arial" w:cs="Arial"/>
                <w:szCs w:val="22"/>
              </w:rPr>
            </w:pPr>
          </w:p>
          <w:p w:rsidR="002F7E53" w:rsidRDefault="002F7E53">
            <w:pPr>
              <w:pStyle w:val="BodyText"/>
              <w:spacing w:line="276" w:lineRule="auto"/>
              <w:rPr>
                <w:rFonts w:ascii="Arial" w:hAnsi="Arial" w:cs="Arial"/>
                <w:szCs w:val="22"/>
              </w:rPr>
            </w:pPr>
          </w:p>
        </w:tc>
      </w:tr>
    </w:tbl>
    <w:p w:rsidR="002F7E53" w:rsidRDefault="002F7E53" w:rsidP="002F7E53">
      <w:pPr>
        <w:rPr>
          <w:rFonts w:cs="Arial"/>
          <w:sz w:val="22"/>
          <w:szCs w:val="22"/>
          <w:lang w:val="en-US" w:eastAsia="en-US"/>
        </w:rPr>
      </w:pPr>
    </w:p>
    <w:p w:rsidR="002F7E53" w:rsidRDefault="002F7E53" w:rsidP="002F7E53">
      <w:pPr>
        <w:rPr>
          <w:rFonts w:cs="Arial"/>
          <w:sz w:val="22"/>
          <w:szCs w:val="22"/>
        </w:rPr>
      </w:pPr>
      <w:r>
        <w:rPr>
          <w:rFonts w:cs="Arial"/>
          <w:sz w:val="22"/>
          <w:szCs w:val="22"/>
        </w:rPr>
        <w:t>It is important to note that this description is a typical example of your placement and may be subject to change.</w:t>
      </w:r>
    </w:p>
    <w:p w:rsidR="002F7E53" w:rsidRDefault="002F7E53" w:rsidP="002F7E53">
      <w:pPr>
        <w:rPr>
          <w:rFonts w:ascii="Cambria" w:hAnsi="Cambria"/>
        </w:rPr>
      </w:pPr>
    </w:p>
    <w:p w:rsidR="00DF21D4" w:rsidRPr="002F7E53" w:rsidRDefault="00DF21D4" w:rsidP="002F7E53"/>
    <w:sectPr w:rsidR="00DF21D4" w:rsidRPr="002F7E53"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8"/>
  </w:num>
  <w:num w:numId="4">
    <w:abstractNumId w:val="1"/>
  </w:num>
  <w:num w:numId="5">
    <w:abstractNumId w:val="9"/>
  </w:num>
  <w:num w:numId="6">
    <w:abstractNumId w:val="10"/>
  </w:num>
  <w:num w:numId="7">
    <w:abstractNumId w:val="4"/>
  </w:num>
  <w:num w:numId="8">
    <w:abstractNumId w:val="7"/>
  </w:num>
  <w:num w:numId="9">
    <w:abstractNumId w:val="2"/>
  </w:num>
  <w:num w:numId="10">
    <w:abstractNumId w:val="0"/>
  </w:num>
  <w:num w:numId="11">
    <w:abstractNumId w:val="7"/>
  </w:num>
  <w:num w:numId="12">
    <w:abstractNumId w:val="4"/>
  </w:num>
  <w:num w:numId="13">
    <w:abstractNumId w:val="6"/>
  </w:num>
  <w:num w:numId="14">
    <w:abstractNumId w:val="7"/>
  </w:num>
  <w:num w:numId="15">
    <w:abstractNumId w:val="4"/>
  </w:num>
  <w:num w:numId="16">
    <w:abstractNumId w:val="3"/>
  </w:num>
  <w:num w:numId="17">
    <w:abstractNumId w:val="7"/>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5491D"/>
    <w:rsid w:val="000746B0"/>
    <w:rsid w:val="00081DA8"/>
    <w:rsid w:val="000A605D"/>
    <w:rsid w:val="000E4AAE"/>
    <w:rsid w:val="000F4C03"/>
    <w:rsid w:val="001610E2"/>
    <w:rsid w:val="001B43CB"/>
    <w:rsid w:val="002F7E53"/>
    <w:rsid w:val="003520AB"/>
    <w:rsid w:val="00363F01"/>
    <w:rsid w:val="003963AC"/>
    <w:rsid w:val="00472B89"/>
    <w:rsid w:val="00495A12"/>
    <w:rsid w:val="005966EF"/>
    <w:rsid w:val="005B4E59"/>
    <w:rsid w:val="005F73FC"/>
    <w:rsid w:val="007950BD"/>
    <w:rsid w:val="007D3008"/>
    <w:rsid w:val="007F4F9B"/>
    <w:rsid w:val="00803B90"/>
    <w:rsid w:val="008206BB"/>
    <w:rsid w:val="0085290E"/>
    <w:rsid w:val="008C3E0E"/>
    <w:rsid w:val="008F2E22"/>
    <w:rsid w:val="00925F85"/>
    <w:rsid w:val="00967A91"/>
    <w:rsid w:val="00971D92"/>
    <w:rsid w:val="009919DF"/>
    <w:rsid w:val="00A13A79"/>
    <w:rsid w:val="00A65291"/>
    <w:rsid w:val="00AB50E2"/>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347147710">
      <w:bodyDiv w:val="1"/>
      <w:marLeft w:val="0"/>
      <w:marRight w:val="0"/>
      <w:marTop w:val="0"/>
      <w:marBottom w:val="0"/>
      <w:divBdr>
        <w:top w:val="none" w:sz="0" w:space="0" w:color="auto"/>
        <w:left w:val="none" w:sz="0" w:space="0" w:color="auto"/>
        <w:bottom w:val="none" w:sz="0" w:space="0" w:color="auto"/>
        <w:right w:val="none" w:sz="0" w:space="0" w:color="auto"/>
      </w:divBdr>
    </w:div>
    <w:div w:id="598175880">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210343491">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2016-09-21T10:41:00Z</dcterms:created>
  <dcterms:modified xsi:type="dcterms:W3CDTF">2016-09-21T10:41:00Z</dcterms:modified>
</cp:coreProperties>
</file>