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9C24" w14:textId="25C887E5" w:rsidR="002A0FD5" w:rsidRPr="00AD7D5E" w:rsidRDefault="002A0FD5" w:rsidP="002A0FD5">
      <w:pPr>
        <w:widowControl w:val="0"/>
        <w:autoSpaceDE w:val="0"/>
        <w:autoSpaceDN w:val="0"/>
        <w:adjustRightInd w:val="0"/>
        <w:spacing w:after="240" w:line="360" w:lineRule="auto"/>
        <w:rPr>
          <w:rFonts w:ascii="Helvetica" w:eastAsia="MS Mincho" w:hAnsi="Helvetica" w:cs="Helvetica"/>
          <w:b/>
          <w:bCs/>
          <w:color w:val="022580"/>
          <w:sz w:val="28"/>
          <w:szCs w:val="37"/>
          <w:lang w:val="en-US"/>
        </w:rPr>
      </w:pPr>
    </w:p>
    <w:tbl>
      <w:tblPr>
        <w:tblStyle w:val="TableGrid"/>
        <w:tblW w:w="0" w:type="auto"/>
        <w:tblLook w:val="04A0" w:firstRow="1" w:lastRow="0" w:firstColumn="1" w:lastColumn="0" w:noHBand="0" w:noVBand="1"/>
      </w:tblPr>
      <w:tblGrid>
        <w:gridCol w:w="3487"/>
        <w:gridCol w:w="3487"/>
        <w:gridCol w:w="3487"/>
        <w:gridCol w:w="3487"/>
      </w:tblGrid>
      <w:tr w:rsidR="004D47F2" w14:paraId="2831EC4B" w14:textId="77777777" w:rsidTr="004D47F2">
        <w:tc>
          <w:tcPr>
            <w:tcW w:w="13948" w:type="dxa"/>
            <w:gridSpan w:val="4"/>
            <w:shd w:val="clear" w:color="auto" w:fill="003893"/>
          </w:tcPr>
          <w:p w14:paraId="4D6EA161" w14:textId="2E5335FF" w:rsidR="004D47F2" w:rsidRDefault="0091519B" w:rsidP="004D47F2">
            <w:pPr>
              <w:spacing w:line="276" w:lineRule="auto"/>
            </w:pPr>
            <w:r>
              <w:rPr>
                <w:rFonts w:ascii="Helvetica" w:eastAsia="MS Mincho" w:hAnsi="Helvetica" w:cs="Helvetica"/>
                <w:b/>
                <w:bCs/>
                <w:color w:val="FFFFFF" w:themeColor="background1"/>
                <w:sz w:val="28"/>
                <w:szCs w:val="37"/>
                <w:lang w:val="en-US"/>
              </w:rPr>
              <w:t xml:space="preserve">Role Profile: </w:t>
            </w:r>
            <w:r w:rsidR="00F27546">
              <w:rPr>
                <w:rFonts w:ascii="Helvetica" w:eastAsia="MS Mincho" w:hAnsi="Helvetica" w:cs="Helvetica"/>
                <w:b/>
                <w:bCs/>
                <w:color w:val="FFFFFF" w:themeColor="background1"/>
                <w:sz w:val="28"/>
                <w:szCs w:val="37"/>
                <w:lang w:val="en-US"/>
              </w:rPr>
              <w:t>Integrated Neighbourhood Working</w:t>
            </w:r>
            <w:r w:rsidRPr="0091519B">
              <w:rPr>
                <w:rFonts w:ascii="Helvetica" w:eastAsia="MS Mincho" w:hAnsi="Helvetica" w:cs="Helvetica"/>
                <w:b/>
                <w:bCs/>
                <w:color w:val="FFFFFF" w:themeColor="background1"/>
                <w:sz w:val="28"/>
                <w:szCs w:val="37"/>
                <w:lang w:val="en-US"/>
              </w:rPr>
              <w:t xml:space="preserve"> Fellow</w:t>
            </w:r>
          </w:p>
        </w:tc>
      </w:tr>
      <w:tr w:rsidR="004D47F2" w:rsidRPr="00126E87" w14:paraId="2ECBBCBC" w14:textId="77777777" w:rsidTr="000E7DBA">
        <w:trPr>
          <w:trHeight w:val="1784"/>
        </w:trPr>
        <w:tc>
          <w:tcPr>
            <w:tcW w:w="3487" w:type="dxa"/>
            <w:vAlign w:val="center"/>
          </w:tcPr>
          <w:p w14:paraId="1E42BBDC" w14:textId="2829BAD5" w:rsidR="004D47F2" w:rsidRPr="00126E87" w:rsidRDefault="0091519B" w:rsidP="004D47F2">
            <w:pPr>
              <w:widowControl w:val="0"/>
              <w:autoSpaceDE w:val="0"/>
              <w:autoSpaceDN w:val="0"/>
              <w:adjustRightInd w:val="0"/>
              <w:spacing w:line="276" w:lineRule="auto"/>
              <w:rPr>
                <w:rFonts w:cs="Arial"/>
                <w:color w:val="000000"/>
                <w:sz w:val="22"/>
                <w:szCs w:val="22"/>
              </w:rPr>
            </w:pPr>
            <w:r>
              <w:rPr>
                <w:rFonts w:cs="Arial"/>
                <w:b/>
                <w:bCs/>
                <w:color w:val="000000"/>
                <w:sz w:val="22"/>
                <w:szCs w:val="22"/>
              </w:rPr>
              <w:t>Title</w:t>
            </w:r>
            <w:r w:rsidR="004D47F2" w:rsidRPr="00126E87">
              <w:rPr>
                <w:rFonts w:cs="Arial"/>
                <w:b/>
                <w:bCs/>
                <w:color w:val="000000"/>
                <w:sz w:val="22"/>
                <w:szCs w:val="22"/>
              </w:rPr>
              <w:t xml:space="preserve">: </w:t>
            </w:r>
          </w:p>
        </w:tc>
        <w:tc>
          <w:tcPr>
            <w:tcW w:w="3487" w:type="dxa"/>
            <w:vAlign w:val="center"/>
          </w:tcPr>
          <w:p w14:paraId="3559F71E" w14:textId="77777777" w:rsidR="0008464B" w:rsidRDefault="0008464B" w:rsidP="004D47F2">
            <w:pPr>
              <w:widowControl w:val="0"/>
              <w:autoSpaceDE w:val="0"/>
              <w:autoSpaceDN w:val="0"/>
              <w:adjustRightInd w:val="0"/>
              <w:spacing w:line="276" w:lineRule="auto"/>
              <w:rPr>
                <w:rFonts w:cs="Arial"/>
                <w:color w:val="000000" w:themeColor="text1"/>
                <w:sz w:val="22"/>
                <w:szCs w:val="22"/>
              </w:rPr>
            </w:pPr>
          </w:p>
          <w:p w14:paraId="0ACEC116" w14:textId="0DCDA25B" w:rsidR="004D47F2" w:rsidRDefault="00723443" w:rsidP="004D47F2">
            <w:pPr>
              <w:widowControl w:val="0"/>
              <w:autoSpaceDE w:val="0"/>
              <w:autoSpaceDN w:val="0"/>
              <w:adjustRightInd w:val="0"/>
              <w:spacing w:line="276" w:lineRule="auto"/>
              <w:rPr>
                <w:rFonts w:cs="Arial"/>
                <w:color w:val="000000" w:themeColor="text1"/>
                <w:sz w:val="22"/>
                <w:szCs w:val="22"/>
              </w:rPr>
            </w:pPr>
            <w:r>
              <w:rPr>
                <w:rFonts w:cs="Arial"/>
                <w:color w:val="000000" w:themeColor="text1"/>
                <w:sz w:val="22"/>
                <w:szCs w:val="22"/>
              </w:rPr>
              <w:t>I</w:t>
            </w:r>
            <w:r w:rsidR="002B2592">
              <w:rPr>
                <w:rFonts w:cs="Arial"/>
                <w:color w:val="000000" w:themeColor="text1"/>
                <w:sz w:val="22"/>
                <w:szCs w:val="22"/>
              </w:rPr>
              <w:t>nte</w:t>
            </w:r>
            <w:r w:rsidR="00F27546">
              <w:rPr>
                <w:rFonts w:cs="Arial"/>
                <w:color w:val="000000" w:themeColor="text1"/>
                <w:sz w:val="22"/>
                <w:szCs w:val="22"/>
              </w:rPr>
              <w:t>grated Neighbourhood Working</w:t>
            </w:r>
          </w:p>
          <w:p w14:paraId="012DACC2" w14:textId="576A159C" w:rsidR="0008464B" w:rsidRPr="000E7DBA" w:rsidRDefault="0008464B" w:rsidP="007B4030">
            <w:pPr>
              <w:pStyle w:val="ListParagraph"/>
              <w:widowControl w:val="0"/>
              <w:autoSpaceDE w:val="0"/>
              <w:autoSpaceDN w:val="0"/>
              <w:adjustRightInd w:val="0"/>
              <w:spacing w:line="276" w:lineRule="auto"/>
              <w:ind w:left="360"/>
              <w:rPr>
                <w:rFonts w:cs="Arial"/>
                <w:color w:val="000000"/>
                <w:sz w:val="12"/>
                <w:szCs w:val="12"/>
              </w:rPr>
            </w:pPr>
          </w:p>
        </w:tc>
        <w:tc>
          <w:tcPr>
            <w:tcW w:w="3487" w:type="dxa"/>
            <w:vAlign w:val="center"/>
          </w:tcPr>
          <w:p w14:paraId="50494D0B" w14:textId="77777777" w:rsidR="004D47F2" w:rsidRPr="00126E87" w:rsidRDefault="004D47F2" w:rsidP="004D47F2">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Grade: </w:t>
            </w:r>
          </w:p>
        </w:tc>
        <w:tc>
          <w:tcPr>
            <w:tcW w:w="3487" w:type="dxa"/>
            <w:vAlign w:val="center"/>
          </w:tcPr>
          <w:p w14:paraId="271D6C2D" w14:textId="62C4D114" w:rsidR="00203AE2" w:rsidRPr="006268BE" w:rsidRDefault="007B4030" w:rsidP="00875876">
            <w:pPr>
              <w:widowControl w:val="0"/>
              <w:autoSpaceDE w:val="0"/>
              <w:autoSpaceDN w:val="0"/>
              <w:adjustRightInd w:val="0"/>
              <w:spacing w:line="276" w:lineRule="auto"/>
              <w:rPr>
                <w:rFonts w:eastAsiaTheme="minorHAnsi" w:cs="Arial"/>
                <w:sz w:val="22"/>
                <w:szCs w:val="22"/>
              </w:rPr>
            </w:pPr>
            <w:r>
              <w:rPr>
                <w:rFonts w:eastAsiaTheme="minorHAnsi" w:cs="Arial"/>
                <w:sz w:val="22"/>
                <w:szCs w:val="22"/>
              </w:rPr>
              <w:t xml:space="preserve">GPST3 </w:t>
            </w:r>
          </w:p>
        </w:tc>
      </w:tr>
      <w:tr w:rsidR="00E23CBB" w:rsidRPr="00126E87" w14:paraId="48F93A7A" w14:textId="77777777" w:rsidTr="004D47F2">
        <w:tc>
          <w:tcPr>
            <w:tcW w:w="3487" w:type="dxa"/>
            <w:vAlign w:val="center"/>
          </w:tcPr>
          <w:p w14:paraId="59144F96" w14:textId="19E70BE6" w:rsidR="00E23CBB" w:rsidRPr="00E23CBB" w:rsidRDefault="00E23CBB" w:rsidP="00E23CBB">
            <w:pPr>
              <w:widowControl w:val="0"/>
              <w:autoSpaceDE w:val="0"/>
              <w:autoSpaceDN w:val="0"/>
              <w:adjustRightInd w:val="0"/>
              <w:spacing w:line="276" w:lineRule="auto"/>
              <w:rPr>
                <w:rFonts w:cs="Arial"/>
                <w:b/>
                <w:bCs/>
                <w:color w:val="000000" w:themeColor="text1"/>
                <w:sz w:val="22"/>
                <w:szCs w:val="22"/>
              </w:rPr>
            </w:pPr>
            <w:r w:rsidRPr="00E23CBB">
              <w:rPr>
                <w:rFonts w:cs="Arial"/>
                <w:b/>
                <w:bCs/>
                <w:color w:val="000000" w:themeColor="text1"/>
                <w:sz w:val="22"/>
                <w:szCs w:val="22"/>
              </w:rPr>
              <w:t>Type of contract:</w:t>
            </w:r>
          </w:p>
        </w:tc>
        <w:tc>
          <w:tcPr>
            <w:tcW w:w="3487" w:type="dxa"/>
            <w:vAlign w:val="center"/>
          </w:tcPr>
          <w:p w14:paraId="1F15DA87" w14:textId="77777777" w:rsidR="00E23CBB" w:rsidRPr="000E7DBA" w:rsidRDefault="00E23CBB" w:rsidP="00E23CBB">
            <w:pPr>
              <w:spacing w:line="276" w:lineRule="auto"/>
              <w:rPr>
                <w:rFonts w:cs="Arial"/>
                <w:color w:val="000000" w:themeColor="text1"/>
                <w:sz w:val="16"/>
                <w:szCs w:val="16"/>
              </w:rPr>
            </w:pPr>
          </w:p>
          <w:p w14:paraId="7B3E1EC8" w14:textId="620BE35C" w:rsidR="00E23CBB" w:rsidRPr="00126E87" w:rsidRDefault="00E23CBB" w:rsidP="000E7DBA">
            <w:pPr>
              <w:rPr>
                <w:rFonts w:cs="Arial"/>
                <w:color w:val="000000" w:themeColor="text1"/>
                <w:sz w:val="22"/>
                <w:szCs w:val="22"/>
              </w:rPr>
            </w:pPr>
            <w:r>
              <w:rPr>
                <w:rFonts w:cs="Arial"/>
                <w:color w:val="000000" w:themeColor="text1"/>
                <w:sz w:val="22"/>
                <w:szCs w:val="22"/>
              </w:rPr>
              <w:t>0.</w:t>
            </w:r>
            <w:r w:rsidR="007B4030">
              <w:rPr>
                <w:rFonts w:cs="Arial"/>
                <w:color w:val="000000" w:themeColor="text1"/>
                <w:sz w:val="22"/>
                <w:szCs w:val="22"/>
              </w:rPr>
              <w:t>1</w:t>
            </w:r>
            <w:r>
              <w:rPr>
                <w:rFonts w:cs="Arial"/>
                <w:color w:val="000000" w:themeColor="text1"/>
                <w:sz w:val="22"/>
                <w:szCs w:val="22"/>
              </w:rPr>
              <w:t xml:space="preserve"> FTE for </w:t>
            </w:r>
            <w:r w:rsidR="00F27546">
              <w:rPr>
                <w:rFonts w:cs="Arial"/>
                <w:color w:val="000000" w:themeColor="text1"/>
                <w:sz w:val="22"/>
                <w:szCs w:val="22"/>
              </w:rPr>
              <w:t>7</w:t>
            </w:r>
            <w:r w:rsidR="007B4030">
              <w:rPr>
                <w:rFonts w:cs="Arial"/>
                <w:color w:val="000000" w:themeColor="text1"/>
                <w:sz w:val="22"/>
                <w:szCs w:val="22"/>
              </w:rPr>
              <w:t xml:space="preserve"> months</w:t>
            </w:r>
            <w:r>
              <w:rPr>
                <w:rFonts w:cs="Arial"/>
                <w:color w:val="000000" w:themeColor="text1"/>
                <w:sz w:val="22"/>
                <w:szCs w:val="22"/>
              </w:rPr>
              <w:t xml:space="preserve"> </w:t>
            </w:r>
          </w:p>
        </w:tc>
        <w:tc>
          <w:tcPr>
            <w:tcW w:w="3487" w:type="dxa"/>
            <w:vAlign w:val="center"/>
          </w:tcPr>
          <w:p w14:paraId="192FD113" w14:textId="77777777" w:rsidR="00E23CBB" w:rsidRPr="00126E87" w:rsidRDefault="00E23CBB" w:rsidP="00E23CBB">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Accountable to: </w:t>
            </w:r>
          </w:p>
        </w:tc>
        <w:tc>
          <w:tcPr>
            <w:tcW w:w="3487" w:type="dxa"/>
            <w:vAlign w:val="center"/>
          </w:tcPr>
          <w:p w14:paraId="685FD262" w14:textId="77777777" w:rsidR="00E23CBB" w:rsidRPr="00E02292" w:rsidRDefault="00E23CBB" w:rsidP="00E23CBB">
            <w:pPr>
              <w:widowControl w:val="0"/>
              <w:autoSpaceDE w:val="0"/>
              <w:autoSpaceDN w:val="0"/>
              <w:adjustRightInd w:val="0"/>
              <w:spacing w:line="276" w:lineRule="auto"/>
              <w:rPr>
                <w:rFonts w:eastAsiaTheme="minorHAnsi" w:cs="Arial"/>
                <w:sz w:val="10"/>
                <w:szCs w:val="10"/>
              </w:rPr>
            </w:pPr>
          </w:p>
          <w:p w14:paraId="550C11E7" w14:textId="3187CA0D" w:rsidR="00E23CBB" w:rsidRDefault="00F27546" w:rsidP="00E23CBB">
            <w:pPr>
              <w:widowControl w:val="0"/>
              <w:autoSpaceDE w:val="0"/>
              <w:autoSpaceDN w:val="0"/>
              <w:adjustRightInd w:val="0"/>
              <w:spacing w:line="276" w:lineRule="auto"/>
              <w:rPr>
                <w:rFonts w:eastAsiaTheme="minorHAnsi" w:cs="Arial"/>
                <w:sz w:val="22"/>
                <w:szCs w:val="22"/>
              </w:rPr>
            </w:pPr>
            <w:r>
              <w:rPr>
                <w:rFonts w:eastAsiaTheme="minorHAnsi" w:cs="Arial"/>
                <w:sz w:val="22"/>
                <w:szCs w:val="22"/>
              </w:rPr>
              <w:t>Head of School for Primary Care</w:t>
            </w:r>
          </w:p>
          <w:p w14:paraId="7A118CEC" w14:textId="1207DC74" w:rsidR="00F27546" w:rsidRDefault="00F27546" w:rsidP="00E23CBB">
            <w:pPr>
              <w:widowControl w:val="0"/>
              <w:autoSpaceDE w:val="0"/>
              <w:autoSpaceDN w:val="0"/>
              <w:adjustRightInd w:val="0"/>
              <w:spacing w:line="276" w:lineRule="auto"/>
              <w:rPr>
                <w:rFonts w:eastAsiaTheme="minorHAnsi" w:cs="Arial"/>
                <w:sz w:val="22"/>
                <w:szCs w:val="22"/>
              </w:rPr>
            </w:pPr>
            <w:r>
              <w:rPr>
                <w:rFonts w:eastAsiaTheme="minorHAnsi" w:cs="Arial"/>
                <w:sz w:val="22"/>
                <w:szCs w:val="22"/>
              </w:rPr>
              <w:t>with Supervision from the Training Hub / ICB</w:t>
            </w:r>
          </w:p>
          <w:p w14:paraId="437DB799" w14:textId="5F68DDA6" w:rsidR="00E23CBB" w:rsidRPr="00E02292" w:rsidRDefault="00E23CBB" w:rsidP="0066509F">
            <w:pPr>
              <w:widowControl w:val="0"/>
              <w:autoSpaceDE w:val="0"/>
              <w:autoSpaceDN w:val="0"/>
              <w:adjustRightInd w:val="0"/>
              <w:spacing w:line="276" w:lineRule="auto"/>
              <w:rPr>
                <w:rFonts w:cs="Arial"/>
                <w:color w:val="000000" w:themeColor="text1"/>
                <w:sz w:val="10"/>
                <w:szCs w:val="10"/>
              </w:rPr>
            </w:pPr>
          </w:p>
        </w:tc>
      </w:tr>
      <w:tr w:rsidR="00E23CBB" w:rsidRPr="00126E87" w14:paraId="49BD0C8E" w14:textId="77777777" w:rsidTr="007669F9">
        <w:trPr>
          <w:trHeight w:val="283"/>
        </w:trPr>
        <w:tc>
          <w:tcPr>
            <w:tcW w:w="3487" w:type="dxa"/>
            <w:vAlign w:val="center"/>
          </w:tcPr>
          <w:p w14:paraId="03AEC0E0" w14:textId="5178B0A6" w:rsidR="00E23CBB" w:rsidRPr="00191F00" w:rsidRDefault="00E23CBB" w:rsidP="00E23CBB">
            <w:pPr>
              <w:widowControl w:val="0"/>
              <w:autoSpaceDE w:val="0"/>
              <w:autoSpaceDN w:val="0"/>
              <w:adjustRightInd w:val="0"/>
              <w:spacing w:line="276" w:lineRule="auto"/>
              <w:rPr>
                <w:rFonts w:cs="Arial"/>
                <w:b/>
                <w:bCs/>
                <w:color w:val="000000" w:themeColor="text1"/>
                <w:sz w:val="22"/>
                <w:szCs w:val="22"/>
              </w:rPr>
            </w:pPr>
            <w:r w:rsidRPr="00191F00">
              <w:rPr>
                <w:rFonts w:cs="Arial"/>
                <w:b/>
                <w:bCs/>
                <w:color w:val="000000" w:themeColor="text1"/>
                <w:sz w:val="22"/>
                <w:szCs w:val="22"/>
              </w:rPr>
              <w:t>Postgraduate Certificate in Medical Education</w:t>
            </w:r>
            <w:r>
              <w:rPr>
                <w:rFonts w:cs="Arial"/>
                <w:b/>
                <w:bCs/>
                <w:color w:val="000000" w:themeColor="text1"/>
                <w:sz w:val="22"/>
                <w:szCs w:val="22"/>
              </w:rPr>
              <w:t>:</w:t>
            </w:r>
          </w:p>
          <w:p w14:paraId="602E1CF1" w14:textId="77777777" w:rsidR="00E23CBB" w:rsidRPr="00126E87" w:rsidRDefault="00E23CBB" w:rsidP="00E23CBB">
            <w:pPr>
              <w:widowControl w:val="0"/>
              <w:autoSpaceDE w:val="0"/>
              <w:autoSpaceDN w:val="0"/>
              <w:adjustRightInd w:val="0"/>
              <w:spacing w:line="276" w:lineRule="auto"/>
              <w:rPr>
                <w:rFonts w:cs="Arial"/>
                <w:b/>
                <w:bCs/>
                <w:color w:val="000000" w:themeColor="text1"/>
                <w:sz w:val="22"/>
                <w:szCs w:val="22"/>
              </w:rPr>
            </w:pPr>
          </w:p>
        </w:tc>
        <w:tc>
          <w:tcPr>
            <w:tcW w:w="10461" w:type="dxa"/>
            <w:gridSpan w:val="3"/>
            <w:vAlign w:val="center"/>
          </w:tcPr>
          <w:p w14:paraId="43905A3D" w14:textId="77777777" w:rsidR="00E23CBB" w:rsidRPr="0025779E" w:rsidRDefault="00E23CBB" w:rsidP="00D06ED9">
            <w:pPr>
              <w:autoSpaceDE w:val="0"/>
              <w:autoSpaceDN w:val="0"/>
              <w:adjustRightInd w:val="0"/>
              <w:rPr>
                <w:rFonts w:eastAsiaTheme="minorHAnsi" w:cs="Arial"/>
                <w:sz w:val="8"/>
                <w:szCs w:val="8"/>
              </w:rPr>
            </w:pPr>
          </w:p>
          <w:p w14:paraId="4E81C764" w14:textId="77777777" w:rsidR="00E23CBB" w:rsidRPr="0025779E" w:rsidRDefault="00E23CBB" w:rsidP="00D06ED9">
            <w:pPr>
              <w:autoSpaceDE w:val="0"/>
              <w:autoSpaceDN w:val="0"/>
              <w:adjustRightInd w:val="0"/>
              <w:rPr>
                <w:rFonts w:eastAsiaTheme="minorHAnsi" w:cs="Arial"/>
                <w:sz w:val="10"/>
                <w:szCs w:val="10"/>
              </w:rPr>
            </w:pPr>
          </w:p>
          <w:p w14:paraId="4C74EC66" w14:textId="1775F9B1" w:rsidR="00E23CBB" w:rsidRPr="0025779E" w:rsidRDefault="00F27546" w:rsidP="00D06ED9">
            <w:pPr>
              <w:autoSpaceDE w:val="0"/>
              <w:autoSpaceDN w:val="0"/>
              <w:adjustRightInd w:val="0"/>
              <w:rPr>
                <w:rFonts w:eastAsiaTheme="minorHAnsi" w:cs="Arial"/>
                <w:sz w:val="22"/>
                <w:szCs w:val="22"/>
              </w:rPr>
            </w:pPr>
            <w:r>
              <w:rPr>
                <w:rFonts w:eastAsiaTheme="minorHAnsi" w:cs="Arial"/>
                <w:sz w:val="22"/>
                <w:szCs w:val="22"/>
              </w:rPr>
              <w:t xml:space="preserve">All trainee fellowships come with a funding contribution of up to £5000 in order to complete a PG Cert in Medical Education. </w:t>
            </w:r>
          </w:p>
          <w:p w14:paraId="584E2A63" w14:textId="3C9DD24E" w:rsidR="00E23CBB" w:rsidRPr="0025779E" w:rsidRDefault="00E23CBB" w:rsidP="00E23CBB">
            <w:pPr>
              <w:autoSpaceDE w:val="0"/>
              <w:autoSpaceDN w:val="0"/>
              <w:adjustRightInd w:val="0"/>
              <w:rPr>
                <w:rFonts w:eastAsiaTheme="minorHAnsi" w:cs="Arial"/>
                <w:sz w:val="12"/>
                <w:szCs w:val="12"/>
              </w:rPr>
            </w:pPr>
          </w:p>
        </w:tc>
      </w:tr>
      <w:tr w:rsidR="00E23CBB" w:rsidRPr="00126E87" w14:paraId="0E8155BE" w14:textId="77777777" w:rsidTr="00411D61">
        <w:tc>
          <w:tcPr>
            <w:tcW w:w="3487" w:type="dxa"/>
            <w:vAlign w:val="center"/>
          </w:tcPr>
          <w:p w14:paraId="406C73B1" w14:textId="41A25908" w:rsidR="00E23CBB" w:rsidRPr="00126E87" w:rsidRDefault="00240FF3" w:rsidP="00E23CBB">
            <w:pPr>
              <w:widowControl w:val="0"/>
              <w:autoSpaceDE w:val="0"/>
              <w:autoSpaceDN w:val="0"/>
              <w:adjustRightInd w:val="0"/>
              <w:spacing w:line="340" w:lineRule="atLeast"/>
              <w:rPr>
                <w:rFonts w:cs="Arial"/>
                <w:color w:val="000000" w:themeColor="text1"/>
                <w:sz w:val="22"/>
                <w:szCs w:val="22"/>
              </w:rPr>
            </w:pPr>
            <w:r>
              <w:rPr>
                <w:rFonts w:cs="Arial"/>
                <w:b/>
                <w:bCs/>
                <w:color w:val="000000" w:themeColor="text1"/>
                <w:sz w:val="22"/>
                <w:szCs w:val="22"/>
              </w:rPr>
              <w:t>Background and Rationale</w:t>
            </w:r>
            <w:r w:rsidR="00E23CBB" w:rsidRPr="00126E87">
              <w:rPr>
                <w:rFonts w:cs="Arial"/>
                <w:b/>
                <w:bCs/>
                <w:color w:val="000000" w:themeColor="text1"/>
                <w:sz w:val="22"/>
                <w:szCs w:val="22"/>
              </w:rPr>
              <w:t xml:space="preserve"> </w:t>
            </w:r>
          </w:p>
        </w:tc>
        <w:tc>
          <w:tcPr>
            <w:tcW w:w="10461" w:type="dxa"/>
            <w:gridSpan w:val="3"/>
          </w:tcPr>
          <w:p w14:paraId="7091C641" w14:textId="77777777" w:rsidR="00E23CBB" w:rsidRPr="0025779E" w:rsidRDefault="00E23CBB" w:rsidP="00D06ED9">
            <w:pPr>
              <w:rPr>
                <w:rFonts w:cs="Arial"/>
                <w:color w:val="000000" w:themeColor="text1"/>
                <w:sz w:val="12"/>
                <w:szCs w:val="12"/>
              </w:rPr>
            </w:pPr>
          </w:p>
          <w:p w14:paraId="15A184AE" w14:textId="77777777" w:rsidR="00F27546" w:rsidRDefault="00F27546" w:rsidP="00F27546">
            <w:pPr>
              <w:rPr>
                <w:rFonts w:cs="Arial"/>
              </w:rPr>
            </w:pPr>
            <w:r w:rsidRPr="00C26177">
              <w:rPr>
                <w:rFonts w:cs="Arial"/>
              </w:rPr>
              <w:t>Integrated Neighbourhood Teams (INTs) are a core component of the NHS's strategy to deliver more joined-up, person-centred care closer to where people live. INTs bring together professionals from across health, social care, voluntary, and community sectors to work collaboratively within a local geographical area—typically serving populations of 30,000–50,000 people.</w:t>
            </w:r>
          </w:p>
          <w:p w14:paraId="75B176A2" w14:textId="77777777" w:rsidR="00F27546" w:rsidRPr="00C26177" w:rsidRDefault="00F27546" w:rsidP="00F27546">
            <w:pPr>
              <w:rPr>
                <w:rFonts w:cs="Arial"/>
              </w:rPr>
            </w:pPr>
          </w:p>
          <w:p w14:paraId="706BC061" w14:textId="77777777" w:rsidR="00F27546" w:rsidRPr="00C26177" w:rsidRDefault="00F27546" w:rsidP="00F27546">
            <w:pPr>
              <w:rPr>
                <w:rFonts w:cs="Arial"/>
              </w:rPr>
            </w:pPr>
            <w:r w:rsidRPr="00C26177">
              <w:rPr>
                <w:rFonts w:cs="Arial"/>
              </w:rPr>
              <w:t>These teams aim to proactively identify and support individuals with complex health and social care needs, reduce health inequalities, and prevent avoidable hospital admissions. INTs leverage local knowledge and shared resources to create tailored, holistic care plans that promote independence, wellbeing, and resilience in the community.</w:t>
            </w:r>
          </w:p>
          <w:p w14:paraId="45093D4C" w14:textId="6ED2AA33" w:rsidR="00E23CBB" w:rsidRPr="0025779E" w:rsidRDefault="00E23CBB" w:rsidP="00D06ED9">
            <w:pPr>
              <w:rPr>
                <w:rFonts w:cs="Arial"/>
                <w:color w:val="000000" w:themeColor="text1"/>
                <w:sz w:val="12"/>
                <w:szCs w:val="12"/>
              </w:rPr>
            </w:pPr>
          </w:p>
        </w:tc>
      </w:tr>
      <w:tr w:rsidR="00F27546" w:rsidRPr="00126E87" w14:paraId="104761BA" w14:textId="77777777" w:rsidTr="00411D61">
        <w:tc>
          <w:tcPr>
            <w:tcW w:w="3487" w:type="dxa"/>
            <w:vAlign w:val="center"/>
          </w:tcPr>
          <w:p w14:paraId="035CDEC4" w14:textId="39D6AF92" w:rsidR="00F27546" w:rsidRDefault="00F27546" w:rsidP="00E23CBB">
            <w:pPr>
              <w:widowControl w:val="0"/>
              <w:autoSpaceDE w:val="0"/>
              <w:autoSpaceDN w:val="0"/>
              <w:adjustRightInd w:val="0"/>
              <w:spacing w:line="340" w:lineRule="atLeast"/>
              <w:rPr>
                <w:rFonts w:cs="Arial"/>
                <w:b/>
                <w:bCs/>
                <w:color w:val="000000" w:themeColor="text1"/>
                <w:sz w:val="22"/>
                <w:szCs w:val="22"/>
              </w:rPr>
            </w:pPr>
            <w:r>
              <w:rPr>
                <w:rFonts w:cs="Arial"/>
                <w:b/>
                <w:bCs/>
                <w:color w:val="000000" w:themeColor="text1"/>
                <w:sz w:val="22"/>
                <w:szCs w:val="22"/>
              </w:rPr>
              <w:t>Fellowship Purpose</w:t>
            </w:r>
          </w:p>
        </w:tc>
        <w:tc>
          <w:tcPr>
            <w:tcW w:w="10461" w:type="dxa"/>
            <w:gridSpan w:val="3"/>
          </w:tcPr>
          <w:p w14:paraId="7126E7FF" w14:textId="77777777" w:rsidR="00F27546" w:rsidRPr="00C26177" w:rsidRDefault="00F27546" w:rsidP="00F27546">
            <w:pPr>
              <w:rPr>
                <w:rFonts w:cs="Arial"/>
              </w:rPr>
            </w:pPr>
            <w:r w:rsidRPr="2DFE236E">
              <w:rPr>
                <w:rFonts w:cs="Arial"/>
              </w:rPr>
              <w:t xml:space="preserve">This fellowship provides a unique opportunity for a GPST3 trainee to actively contribute to the evolution and strengthening of Integrated Neighbourhood Teams within the local system. It is designed to enhance leadership capabilities, offer experience in system-wide transformation, </w:t>
            </w:r>
            <w:r w:rsidRPr="2DFE236E">
              <w:rPr>
                <w:rFonts w:cs="Arial"/>
              </w:rPr>
              <w:lastRenderedPageBreak/>
              <w:t>and foster collaboration between primary care, community services, local government, and the voluntary sector.</w:t>
            </w:r>
          </w:p>
          <w:p w14:paraId="7C9F1459" w14:textId="77777777" w:rsidR="00F27546" w:rsidRDefault="00F27546" w:rsidP="00F27546">
            <w:pPr>
              <w:rPr>
                <w:rFonts w:cs="Arial"/>
              </w:rPr>
            </w:pPr>
            <w:r w:rsidRPr="2FDA1242">
              <w:rPr>
                <w:rFonts w:cs="Arial"/>
              </w:rPr>
              <w:t xml:space="preserve">The fellow will work one session per week for 7-8 months with supervision and support from the ICB and local Training Hub as well as the INT consultant </w:t>
            </w:r>
            <w:r>
              <w:rPr>
                <w:rFonts w:cs="Arial"/>
              </w:rPr>
              <w:t xml:space="preserve">(or equivalent lead for integrated working) </w:t>
            </w:r>
            <w:r w:rsidRPr="2FDA1242">
              <w:rPr>
                <w:rFonts w:cs="Arial"/>
              </w:rPr>
              <w:t xml:space="preserve">and PCN Clinical director. Overarching oversight will also be provided by the Primary Care School as required. </w:t>
            </w:r>
          </w:p>
          <w:p w14:paraId="7DDC9E21" w14:textId="77777777" w:rsidR="00F27546" w:rsidRDefault="00F27546" w:rsidP="00F27546">
            <w:pPr>
              <w:rPr>
                <w:rFonts w:cs="Arial"/>
              </w:rPr>
            </w:pPr>
            <w:r w:rsidRPr="00C26177">
              <w:rPr>
                <w:rFonts w:cs="Arial"/>
              </w:rPr>
              <w:t>The role will act as a clinical interface and advocate for neighbourhood integration, while ensuring that the perspectives of primary care trainees are incorporated into service development.</w:t>
            </w:r>
          </w:p>
          <w:p w14:paraId="1CDAC86B" w14:textId="77777777" w:rsidR="00F27546" w:rsidRPr="0025779E" w:rsidRDefault="00F27546" w:rsidP="00D06ED9">
            <w:pPr>
              <w:rPr>
                <w:rFonts w:cs="Arial"/>
                <w:color w:val="000000" w:themeColor="text1"/>
                <w:sz w:val="12"/>
                <w:szCs w:val="12"/>
              </w:rPr>
            </w:pPr>
          </w:p>
        </w:tc>
      </w:tr>
      <w:tr w:rsidR="00E23CBB" w:rsidRPr="00126E87" w14:paraId="3B036FFD" w14:textId="77777777" w:rsidTr="00445192">
        <w:trPr>
          <w:trHeight w:val="936"/>
        </w:trPr>
        <w:tc>
          <w:tcPr>
            <w:tcW w:w="3487" w:type="dxa"/>
            <w:vAlign w:val="center"/>
          </w:tcPr>
          <w:p w14:paraId="12C3184B" w14:textId="77777777" w:rsidR="00E23CBB" w:rsidRPr="00126E87" w:rsidRDefault="00E23CBB" w:rsidP="00E23CBB">
            <w:pPr>
              <w:widowControl w:val="0"/>
              <w:autoSpaceDE w:val="0"/>
              <w:autoSpaceDN w:val="0"/>
              <w:adjustRightInd w:val="0"/>
              <w:spacing w:line="340" w:lineRule="atLeast"/>
              <w:rPr>
                <w:rFonts w:cs="Arial"/>
                <w:b/>
                <w:bCs/>
                <w:color w:val="000000" w:themeColor="text1"/>
                <w:sz w:val="22"/>
                <w:szCs w:val="22"/>
              </w:rPr>
            </w:pPr>
            <w:r w:rsidRPr="00126E87">
              <w:rPr>
                <w:rFonts w:cs="Arial"/>
                <w:b/>
                <w:bCs/>
                <w:color w:val="000000" w:themeColor="text1"/>
                <w:sz w:val="22"/>
                <w:szCs w:val="22"/>
              </w:rPr>
              <w:lastRenderedPageBreak/>
              <w:t>Role objectives</w:t>
            </w:r>
          </w:p>
        </w:tc>
        <w:tc>
          <w:tcPr>
            <w:tcW w:w="10461" w:type="dxa"/>
            <w:gridSpan w:val="3"/>
          </w:tcPr>
          <w:p w14:paraId="458F5EFB" w14:textId="77777777" w:rsidR="001476D6" w:rsidRPr="0025779E" w:rsidRDefault="001476D6" w:rsidP="001476D6">
            <w:pPr>
              <w:pStyle w:val="ListParagraph"/>
              <w:ind w:left="360"/>
              <w:rPr>
                <w:rFonts w:eastAsia="Cambria" w:cs="Arial"/>
                <w:spacing w:val="2"/>
                <w:sz w:val="8"/>
                <w:szCs w:val="8"/>
                <w:lang w:eastAsia="en-GB"/>
              </w:rPr>
            </w:pPr>
          </w:p>
          <w:p w14:paraId="18B6C686" w14:textId="77777777" w:rsidR="00F27546" w:rsidRDefault="00F27546" w:rsidP="00F27546">
            <w:pPr>
              <w:rPr>
                <w:rFonts w:cs="Arial"/>
                <w:b/>
                <w:bCs/>
              </w:rPr>
            </w:pPr>
            <w:r>
              <w:rPr>
                <w:rFonts w:cs="Arial"/>
                <w:b/>
                <w:bCs/>
              </w:rPr>
              <w:t xml:space="preserve">We recognise that this is a time limited fellowship programme. The following is an indication of possible outputs, and we would suggest that the focus is on the development of a Quality Improvement Project to be determined by the relevant ICB stakeholders. </w:t>
            </w:r>
          </w:p>
          <w:p w14:paraId="36EABBC7" w14:textId="77777777" w:rsidR="00F27546" w:rsidRPr="00C26177" w:rsidRDefault="00F27546" w:rsidP="00F27546">
            <w:pPr>
              <w:rPr>
                <w:rFonts w:cs="Arial"/>
                <w:b/>
                <w:bCs/>
              </w:rPr>
            </w:pPr>
          </w:p>
          <w:p w14:paraId="66328480" w14:textId="77777777" w:rsidR="00F27546" w:rsidRPr="00C26177" w:rsidRDefault="00F27546" w:rsidP="00F27546">
            <w:pPr>
              <w:numPr>
                <w:ilvl w:val="0"/>
                <w:numId w:val="17"/>
              </w:numPr>
              <w:spacing w:after="160" w:line="278" w:lineRule="auto"/>
              <w:rPr>
                <w:rFonts w:cs="Arial"/>
                <w:b/>
                <w:bCs/>
              </w:rPr>
            </w:pPr>
            <w:r w:rsidRPr="00C26177">
              <w:rPr>
                <w:rFonts w:cs="Arial"/>
                <w:b/>
                <w:bCs/>
              </w:rPr>
              <w:t>Build Understanding and Capacity:</w:t>
            </w:r>
          </w:p>
          <w:p w14:paraId="3B122015" w14:textId="77777777" w:rsidR="00F27546" w:rsidRPr="00C26177" w:rsidRDefault="00F27546" w:rsidP="00F27546">
            <w:pPr>
              <w:numPr>
                <w:ilvl w:val="1"/>
                <w:numId w:val="17"/>
              </w:numPr>
              <w:spacing w:after="160" w:line="278" w:lineRule="auto"/>
              <w:rPr>
                <w:rFonts w:cs="Arial"/>
              </w:rPr>
            </w:pPr>
            <w:r w:rsidRPr="00C26177">
              <w:rPr>
                <w:rFonts w:cs="Arial"/>
              </w:rPr>
              <w:t>Develop a deep understanding of Integrated Neighbourhood Teams, population health management, and place-based working.</w:t>
            </w:r>
          </w:p>
          <w:p w14:paraId="41658997" w14:textId="77777777" w:rsidR="00F27546" w:rsidRPr="00C26177" w:rsidRDefault="00F27546" w:rsidP="00F27546">
            <w:pPr>
              <w:numPr>
                <w:ilvl w:val="1"/>
                <w:numId w:val="17"/>
              </w:numPr>
              <w:spacing w:after="160" w:line="278" w:lineRule="auto"/>
              <w:rPr>
                <w:rFonts w:cs="Arial"/>
              </w:rPr>
            </w:pPr>
            <w:r w:rsidRPr="1B89375D">
              <w:rPr>
                <w:rFonts w:cs="Arial"/>
              </w:rPr>
              <w:t xml:space="preserve">Build relationships with local multi-professional stakeholders including </w:t>
            </w:r>
            <w:r>
              <w:rPr>
                <w:rFonts w:cs="Arial"/>
              </w:rPr>
              <w:t xml:space="preserve">but not limited to </w:t>
            </w:r>
            <w:r w:rsidRPr="1B89375D">
              <w:rPr>
                <w:rFonts w:cs="Arial"/>
              </w:rPr>
              <w:t>GPs, district nurses, social workers, mental health professionals, and voluntary sector representatives.</w:t>
            </w:r>
          </w:p>
          <w:p w14:paraId="6F5C3607" w14:textId="77777777" w:rsidR="00F27546" w:rsidRPr="00C26177" w:rsidRDefault="00F27546" w:rsidP="00F27546">
            <w:pPr>
              <w:rPr>
                <w:rFonts w:cs="Arial"/>
                <w:b/>
                <w:bCs/>
              </w:rPr>
            </w:pPr>
          </w:p>
          <w:p w14:paraId="3F919205" w14:textId="77777777" w:rsidR="00F27546" w:rsidRPr="00C26177" w:rsidRDefault="00F27546" w:rsidP="00F27546">
            <w:pPr>
              <w:numPr>
                <w:ilvl w:val="0"/>
                <w:numId w:val="17"/>
              </w:numPr>
              <w:spacing w:after="160" w:line="278" w:lineRule="auto"/>
              <w:rPr>
                <w:rFonts w:cs="Arial"/>
                <w:b/>
                <w:bCs/>
              </w:rPr>
            </w:pPr>
            <w:r w:rsidRPr="00C26177">
              <w:rPr>
                <w:rFonts w:cs="Arial"/>
                <w:b/>
                <w:bCs/>
              </w:rPr>
              <w:t>Support System Integration:</w:t>
            </w:r>
          </w:p>
          <w:p w14:paraId="4E9B9DCF" w14:textId="77777777" w:rsidR="00F27546" w:rsidRPr="00C26177" w:rsidRDefault="00F27546" w:rsidP="00F27546">
            <w:pPr>
              <w:numPr>
                <w:ilvl w:val="1"/>
                <w:numId w:val="17"/>
              </w:numPr>
              <w:spacing w:after="160" w:line="278" w:lineRule="auto"/>
              <w:rPr>
                <w:rFonts w:cs="Arial"/>
              </w:rPr>
            </w:pPr>
            <w:r w:rsidRPr="00C26177">
              <w:rPr>
                <w:rFonts w:cs="Arial"/>
              </w:rPr>
              <w:t>Identify opportunities to improve coordination and communication across local services.</w:t>
            </w:r>
          </w:p>
          <w:p w14:paraId="4301FFCA" w14:textId="77777777" w:rsidR="00F27546" w:rsidRPr="00C26177" w:rsidRDefault="00F27546" w:rsidP="00F27546">
            <w:pPr>
              <w:numPr>
                <w:ilvl w:val="1"/>
                <w:numId w:val="17"/>
              </w:numPr>
              <w:spacing w:after="160" w:line="278" w:lineRule="auto"/>
              <w:rPr>
                <w:rFonts w:cs="Arial"/>
              </w:rPr>
            </w:pPr>
            <w:r w:rsidRPr="00C26177">
              <w:rPr>
                <w:rFonts w:cs="Arial"/>
              </w:rPr>
              <w:lastRenderedPageBreak/>
              <w:t>Support the development or enhancement of MDT (multi-disciplinary team) processes and shared care planning.</w:t>
            </w:r>
          </w:p>
          <w:p w14:paraId="3EBED04F" w14:textId="77777777" w:rsidR="00F27546" w:rsidRPr="00C26177" w:rsidRDefault="00F27546" w:rsidP="00F27546">
            <w:pPr>
              <w:rPr>
                <w:rFonts w:cs="Arial"/>
                <w:b/>
                <w:bCs/>
              </w:rPr>
            </w:pPr>
          </w:p>
          <w:p w14:paraId="394A3E11" w14:textId="77777777" w:rsidR="00F27546" w:rsidRPr="00C26177" w:rsidRDefault="00F27546" w:rsidP="00F27546">
            <w:pPr>
              <w:numPr>
                <w:ilvl w:val="0"/>
                <w:numId w:val="17"/>
              </w:numPr>
              <w:spacing w:after="160" w:line="278" w:lineRule="auto"/>
              <w:rPr>
                <w:rFonts w:cs="Arial"/>
                <w:b/>
                <w:bCs/>
              </w:rPr>
            </w:pPr>
            <w:r w:rsidRPr="00C26177">
              <w:rPr>
                <w:rFonts w:cs="Arial"/>
                <w:b/>
                <w:bCs/>
              </w:rPr>
              <w:t>Contribute to Service Improvement:</w:t>
            </w:r>
          </w:p>
          <w:p w14:paraId="703BE412" w14:textId="77777777" w:rsidR="00F27546" w:rsidRPr="00C26177" w:rsidRDefault="00F27546" w:rsidP="00F27546">
            <w:pPr>
              <w:numPr>
                <w:ilvl w:val="1"/>
                <w:numId w:val="17"/>
              </w:numPr>
              <w:spacing w:after="160" w:line="278" w:lineRule="auto"/>
              <w:rPr>
                <w:rFonts w:cs="Arial"/>
              </w:rPr>
            </w:pPr>
            <w:r w:rsidRPr="00C26177">
              <w:rPr>
                <w:rFonts w:cs="Arial"/>
              </w:rPr>
              <w:t>Co-design and pilot local initiatives to enhance patient experience and outcomes.</w:t>
            </w:r>
          </w:p>
          <w:p w14:paraId="44A974D5" w14:textId="77777777" w:rsidR="00F27546" w:rsidRPr="00C26177" w:rsidRDefault="00F27546" w:rsidP="00F27546">
            <w:pPr>
              <w:numPr>
                <w:ilvl w:val="1"/>
                <w:numId w:val="17"/>
              </w:numPr>
              <w:spacing w:after="160" w:line="278" w:lineRule="auto"/>
              <w:rPr>
                <w:rFonts w:cs="Arial"/>
              </w:rPr>
            </w:pPr>
            <w:r w:rsidRPr="00C26177">
              <w:rPr>
                <w:rFonts w:cs="Arial"/>
              </w:rPr>
              <w:t>Use quality improvement (QI) methodologies to assess and refine INT interventions.</w:t>
            </w:r>
          </w:p>
          <w:p w14:paraId="33F3F79B" w14:textId="77777777" w:rsidR="00F27546" w:rsidRPr="00C26177" w:rsidRDefault="00F27546" w:rsidP="00F27546">
            <w:pPr>
              <w:rPr>
                <w:rFonts w:cs="Arial"/>
                <w:b/>
                <w:bCs/>
              </w:rPr>
            </w:pPr>
          </w:p>
          <w:p w14:paraId="316EC230" w14:textId="77777777" w:rsidR="00F27546" w:rsidRPr="00C26177" w:rsidRDefault="00F27546" w:rsidP="00F27546">
            <w:pPr>
              <w:numPr>
                <w:ilvl w:val="0"/>
                <w:numId w:val="17"/>
              </w:numPr>
              <w:spacing w:after="160" w:line="278" w:lineRule="auto"/>
              <w:rPr>
                <w:rFonts w:cs="Arial"/>
                <w:b/>
                <w:bCs/>
              </w:rPr>
            </w:pPr>
            <w:r w:rsidRPr="00C26177">
              <w:rPr>
                <w:rFonts w:cs="Arial"/>
                <w:b/>
                <w:bCs/>
              </w:rPr>
              <w:t>Promote GP Engagement:</w:t>
            </w:r>
          </w:p>
          <w:p w14:paraId="011C6CDB" w14:textId="77777777" w:rsidR="00F27546" w:rsidRPr="00C26177" w:rsidRDefault="00F27546" w:rsidP="00F27546">
            <w:pPr>
              <w:numPr>
                <w:ilvl w:val="1"/>
                <w:numId w:val="17"/>
              </w:numPr>
              <w:spacing w:after="160" w:line="278" w:lineRule="auto"/>
              <w:rPr>
                <w:rFonts w:cs="Arial"/>
              </w:rPr>
            </w:pPr>
            <w:r w:rsidRPr="00C26177">
              <w:rPr>
                <w:rFonts w:cs="Arial"/>
              </w:rPr>
              <w:t>Facilitate stronger engagement of GP practices with INTs.</w:t>
            </w:r>
          </w:p>
          <w:p w14:paraId="3A88B0A0" w14:textId="77777777" w:rsidR="00F27546" w:rsidRPr="00C26177" w:rsidRDefault="00F27546" w:rsidP="00F27546">
            <w:pPr>
              <w:numPr>
                <w:ilvl w:val="1"/>
                <w:numId w:val="17"/>
              </w:numPr>
              <w:spacing w:after="160" w:line="278" w:lineRule="auto"/>
              <w:rPr>
                <w:rFonts w:cs="Arial"/>
              </w:rPr>
            </w:pPr>
            <w:r w:rsidRPr="00C26177">
              <w:rPr>
                <w:rFonts w:cs="Arial"/>
              </w:rPr>
              <w:t>Ensure trainee and early-career GP perspectives are considered in team development.</w:t>
            </w:r>
          </w:p>
          <w:p w14:paraId="28ECC444" w14:textId="77777777" w:rsidR="00F27546" w:rsidRPr="00C26177" w:rsidRDefault="00F27546" w:rsidP="00F27546">
            <w:pPr>
              <w:rPr>
                <w:rFonts w:cs="Arial"/>
                <w:b/>
                <w:bCs/>
              </w:rPr>
            </w:pPr>
          </w:p>
          <w:p w14:paraId="1E32375A" w14:textId="77777777" w:rsidR="00F27546" w:rsidRPr="00C26177" w:rsidRDefault="00F27546" w:rsidP="00F27546">
            <w:pPr>
              <w:numPr>
                <w:ilvl w:val="0"/>
                <w:numId w:val="17"/>
              </w:numPr>
              <w:spacing w:after="160" w:line="278" w:lineRule="auto"/>
              <w:rPr>
                <w:rFonts w:cs="Arial"/>
                <w:b/>
                <w:bCs/>
              </w:rPr>
            </w:pPr>
            <w:r w:rsidRPr="00C26177">
              <w:rPr>
                <w:rFonts w:cs="Arial"/>
                <w:b/>
                <w:bCs/>
              </w:rPr>
              <w:t>Develop Leadership and Change Management Skills:</w:t>
            </w:r>
          </w:p>
          <w:p w14:paraId="07823896" w14:textId="77777777" w:rsidR="00F27546" w:rsidRPr="00C26177" w:rsidRDefault="00F27546" w:rsidP="00F27546">
            <w:pPr>
              <w:numPr>
                <w:ilvl w:val="1"/>
                <w:numId w:val="17"/>
              </w:numPr>
              <w:spacing w:after="160" w:line="278" w:lineRule="auto"/>
              <w:rPr>
                <w:rFonts w:cs="Arial"/>
              </w:rPr>
            </w:pPr>
            <w:r w:rsidRPr="00C26177">
              <w:rPr>
                <w:rFonts w:cs="Arial"/>
              </w:rPr>
              <w:t>Gain experience in managing change in complex systems.</w:t>
            </w:r>
          </w:p>
          <w:p w14:paraId="29C19182" w14:textId="77777777" w:rsidR="00F27546" w:rsidRPr="00C26177" w:rsidRDefault="00F27546" w:rsidP="00F27546">
            <w:pPr>
              <w:numPr>
                <w:ilvl w:val="1"/>
                <w:numId w:val="17"/>
              </w:numPr>
              <w:spacing w:after="160" w:line="278" w:lineRule="auto"/>
              <w:rPr>
                <w:rFonts w:cs="Arial"/>
              </w:rPr>
            </w:pPr>
            <w:r w:rsidRPr="00C26177">
              <w:rPr>
                <w:rFonts w:cs="Arial"/>
              </w:rPr>
              <w:t>Engage in leadership development opportunities provided through the Training Hub / ICB and NHS England.</w:t>
            </w:r>
          </w:p>
          <w:p w14:paraId="605F1708" w14:textId="6D38827A" w:rsidR="00E23CBB" w:rsidRPr="0025779E" w:rsidRDefault="00E23CBB" w:rsidP="00F27546">
            <w:pPr>
              <w:pStyle w:val="ListParagraph"/>
              <w:ind w:left="360"/>
              <w:rPr>
                <w:rFonts w:eastAsiaTheme="minorHAnsi" w:cs="Arial"/>
                <w:sz w:val="22"/>
                <w:szCs w:val="22"/>
              </w:rPr>
            </w:pPr>
          </w:p>
        </w:tc>
      </w:tr>
    </w:tbl>
    <w:p w14:paraId="0DEC0DD6" w14:textId="77777777" w:rsidR="003A396B" w:rsidRPr="00126E87" w:rsidRDefault="003A396B">
      <w:pPr>
        <w:rPr>
          <w:rFonts w:cs="Arial"/>
          <w:color w:val="000000" w:themeColor="text1"/>
          <w:sz w:val="22"/>
          <w:szCs w:val="22"/>
        </w:rPr>
      </w:pPr>
    </w:p>
    <w:tbl>
      <w:tblPr>
        <w:tblStyle w:val="TableGrid"/>
        <w:tblW w:w="14037" w:type="dxa"/>
        <w:tblLook w:val="04A0" w:firstRow="1" w:lastRow="0" w:firstColumn="1" w:lastColumn="0" w:noHBand="0" w:noVBand="1"/>
      </w:tblPr>
      <w:tblGrid>
        <w:gridCol w:w="2473"/>
        <w:gridCol w:w="5782"/>
        <w:gridCol w:w="5782"/>
      </w:tblGrid>
      <w:tr w:rsidR="00161527" w:rsidRPr="00126E87" w14:paraId="1E76048A" w14:textId="65908385" w:rsidTr="00161527">
        <w:trPr>
          <w:trHeight w:val="246"/>
        </w:trPr>
        <w:tc>
          <w:tcPr>
            <w:tcW w:w="2473" w:type="dxa"/>
            <w:shd w:val="clear" w:color="auto" w:fill="003893"/>
          </w:tcPr>
          <w:p w14:paraId="33DB84D0" w14:textId="77777777" w:rsidR="00161527" w:rsidRPr="00E92FDA" w:rsidRDefault="00161527">
            <w:pPr>
              <w:rPr>
                <w:rFonts w:cs="Arial"/>
                <w:b/>
                <w:color w:val="FFFFFF" w:themeColor="background1"/>
                <w:sz w:val="22"/>
                <w:szCs w:val="22"/>
              </w:rPr>
            </w:pPr>
            <w:r w:rsidRPr="00E92FDA">
              <w:rPr>
                <w:rFonts w:cs="Arial"/>
                <w:b/>
                <w:color w:val="FFFFFF" w:themeColor="background1"/>
                <w:sz w:val="22"/>
                <w:szCs w:val="22"/>
              </w:rPr>
              <w:t xml:space="preserve">Criteria </w:t>
            </w:r>
          </w:p>
        </w:tc>
        <w:tc>
          <w:tcPr>
            <w:tcW w:w="5782" w:type="dxa"/>
            <w:shd w:val="clear" w:color="auto" w:fill="003893"/>
          </w:tcPr>
          <w:p w14:paraId="0782F0A4" w14:textId="77777777" w:rsidR="00161527" w:rsidRPr="00E92FDA" w:rsidRDefault="00161527">
            <w:pPr>
              <w:rPr>
                <w:rFonts w:cs="Arial"/>
                <w:b/>
                <w:color w:val="FFFFFF" w:themeColor="background1"/>
                <w:sz w:val="22"/>
                <w:szCs w:val="22"/>
              </w:rPr>
            </w:pPr>
            <w:r w:rsidRPr="00E92FDA">
              <w:rPr>
                <w:rFonts w:cs="Arial"/>
                <w:b/>
                <w:color w:val="FFFFFF" w:themeColor="background1"/>
                <w:sz w:val="22"/>
                <w:szCs w:val="22"/>
              </w:rPr>
              <w:t xml:space="preserve">Essential </w:t>
            </w:r>
          </w:p>
        </w:tc>
        <w:tc>
          <w:tcPr>
            <w:tcW w:w="5782" w:type="dxa"/>
            <w:shd w:val="clear" w:color="auto" w:fill="003893"/>
          </w:tcPr>
          <w:p w14:paraId="45566539" w14:textId="77777777" w:rsidR="00161527" w:rsidRPr="00E92FDA" w:rsidRDefault="00161527">
            <w:pPr>
              <w:rPr>
                <w:rFonts w:cs="Arial"/>
                <w:b/>
                <w:color w:val="FFFFFF" w:themeColor="background1"/>
                <w:sz w:val="22"/>
                <w:szCs w:val="22"/>
              </w:rPr>
            </w:pPr>
            <w:r w:rsidRPr="00E92FDA">
              <w:rPr>
                <w:rFonts w:cs="Arial"/>
                <w:b/>
                <w:color w:val="FFFFFF" w:themeColor="background1"/>
                <w:sz w:val="22"/>
                <w:szCs w:val="22"/>
              </w:rPr>
              <w:t xml:space="preserve">Desirable </w:t>
            </w:r>
          </w:p>
        </w:tc>
      </w:tr>
      <w:tr w:rsidR="00161527" w:rsidRPr="00126E87" w14:paraId="2378E9C0" w14:textId="02C59AED" w:rsidTr="00161527">
        <w:trPr>
          <w:trHeight w:val="826"/>
        </w:trPr>
        <w:tc>
          <w:tcPr>
            <w:tcW w:w="2473" w:type="dxa"/>
          </w:tcPr>
          <w:p w14:paraId="5581597A" w14:textId="77777777" w:rsidR="00161527" w:rsidRDefault="00161527" w:rsidP="004D47F2">
            <w:pPr>
              <w:rPr>
                <w:rFonts w:cs="Arial"/>
                <w:b/>
                <w:color w:val="000000" w:themeColor="text1"/>
                <w:sz w:val="22"/>
                <w:szCs w:val="22"/>
              </w:rPr>
            </w:pPr>
          </w:p>
          <w:p w14:paraId="3098EAE4" w14:textId="4B63FA2C" w:rsidR="00161527" w:rsidRPr="00126E87" w:rsidRDefault="00161527" w:rsidP="004D47F2">
            <w:pPr>
              <w:rPr>
                <w:rFonts w:cs="Arial"/>
                <w:b/>
                <w:color w:val="000000" w:themeColor="text1"/>
                <w:sz w:val="22"/>
                <w:szCs w:val="22"/>
              </w:rPr>
            </w:pPr>
            <w:r>
              <w:rPr>
                <w:rFonts w:cs="Arial"/>
                <w:b/>
                <w:color w:val="000000" w:themeColor="text1"/>
                <w:sz w:val="22"/>
                <w:szCs w:val="22"/>
              </w:rPr>
              <w:t xml:space="preserve">Eligibility </w:t>
            </w:r>
          </w:p>
        </w:tc>
        <w:tc>
          <w:tcPr>
            <w:tcW w:w="5782" w:type="dxa"/>
          </w:tcPr>
          <w:p w14:paraId="4BD27572" w14:textId="77777777" w:rsidR="00161527" w:rsidRDefault="00161527" w:rsidP="004D47F2">
            <w:pPr>
              <w:rPr>
                <w:rFonts w:cs="Arial"/>
                <w:color w:val="000000" w:themeColor="text1"/>
                <w:sz w:val="22"/>
                <w:szCs w:val="22"/>
              </w:rPr>
            </w:pPr>
          </w:p>
          <w:p w14:paraId="19B3436D" w14:textId="1E979C66" w:rsidR="00161527" w:rsidRDefault="003F04F8" w:rsidP="004D47F2">
            <w:pPr>
              <w:rPr>
                <w:rFonts w:cs="Arial"/>
                <w:color w:val="000000" w:themeColor="text1"/>
                <w:sz w:val="22"/>
                <w:szCs w:val="22"/>
              </w:rPr>
            </w:pPr>
            <w:r>
              <w:rPr>
                <w:rFonts w:cs="Arial"/>
                <w:color w:val="000000" w:themeColor="text1"/>
                <w:sz w:val="22"/>
                <w:szCs w:val="22"/>
              </w:rPr>
              <w:t>All applicants</w:t>
            </w:r>
            <w:r w:rsidR="00EF70D2">
              <w:rPr>
                <w:rFonts w:cs="Arial"/>
                <w:color w:val="000000" w:themeColor="text1"/>
                <w:sz w:val="22"/>
                <w:szCs w:val="22"/>
              </w:rPr>
              <w:t xml:space="preserve"> must</w:t>
            </w:r>
            <w:r>
              <w:rPr>
                <w:rFonts w:cs="Arial"/>
                <w:color w:val="000000" w:themeColor="text1"/>
                <w:sz w:val="22"/>
                <w:szCs w:val="22"/>
              </w:rPr>
              <w:t>:</w:t>
            </w:r>
          </w:p>
          <w:p w14:paraId="290A94CD" w14:textId="77777777" w:rsidR="00EF70D2" w:rsidRDefault="00EF70D2" w:rsidP="00EF70D2">
            <w:pPr>
              <w:rPr>
                <w:rFonts w:cs="Arial"/>
                <w:color w:val="000000" w:themeColor="text1"/>
                <w:sz w:val="22"/>
                <w:szCs w:val="22"/>
              </w:rPr>
            </w:pPr>
          </w:p>
          <w:p w14:paraId="4539C6E2" w14:textId="15FB490D" w:rsidR="003F04F8" w:rsidRPr="00EF70D2" w:rsidRDefault="00EF70D2" w:rsidP="00EF70D2">
            <w:pPr>
              <w:rPr>
                <w:rFonts w:cs="Arial"/>
                <w:color w:val="000000" w:themeColor="text1"/>
                <w:sz w:val="22"/>
                <w:szCs w:val="22"/>
              </w:rPr>
            </w:pPr>
            <w:r>
              <w:rPr>
                <w:rFonts w:cs="Arial"/>
                <w:color w:val="000000" w:themeColor="text1"/>
                <w:sz w:val="22"/>
                <w:szCs w:val="22"/>
              </w:rPr>
              <w:t>W</w:t>
            </w:r>
            <w:r w:rsidR="003F04F8" w:rsidRPr="00EF70D2">
              <w:rPr>
                <w:rFonts w:cs="Arial"/>
                <w:color w:val="000000" w:themeColor="text1"/>
                <w:sz w:val="22"/>
                <w:szCs w:val="22"/>
              </w:rPr>
              <w:t>ork in an East of England GP training Programme</w:t>
            </w:r>
          </w:p>
          <w:p w14:paraId="59E3D7CB" w14:textId="77777777" w:rsidR="00EF70D2" w:rsidRDefault="00EF70D2" w:rsidP="00EF70D2">
            <w:pPr>
              <w:ind w:left="360"/>
              <w:rPr>
                <w:rFonts w:cs="Arial"/>
                <w:color w:val="000000" w:themeColor="text1"/>
                <w:sz w:val="22"/>
                <w:szCs w:val="22"/>
              </w:rPr>
            </w:pPr>
          </w:p>
          <w:p w14:paraId="7F8250C1" w14:textId="0F0B0DB4" w:rsidR="002752A9" w:rsidRPr="00EF70D2" w:rsidRDefault="00EF70D2" w:rsidP="00EF70D2">
            <w:pPr>
              <w:rPr>
                <w:rFonts w:cs="Arial"/>
                <w:color w:val="000000" w:themeColor="text1"/>
                <w:sz w:val="22"/>
                <w:szCs w:val="22"/>
              </w:rPr>
            </w:pPr>
            <w:r>
              <w:rPr>
                <w:rFonts w:cs="Arial"/>
                <w:color w:val="000000" w:themeColor="text1"/>
                <w:sz w:val="22"/>
                <w:szCs w:val="22"/>
              </w:rPr>
              <w:lastRenderedPageBreak/>
              <w:t>B</w:t>
            </w:r>
            <w:r w:rsidR="002752A9" w:rsidRPr="00EF70D2">
              <w:rPr>
                <w:rFonts w:cs="Arial"/>
                <w:color w:val="000000" w:themeColor="text1"/>
                <w:sz w:val="22"/>
                <w:szCs w:val="22"/>
              </w:rPr>
              <w:t>e able to commit 1 session per week</w:t>
            </w:r>
          </w:p>
          <w:p w14:paraId="3848414F" w14:textId="63F06DDA" w:rsidR="00161527" w:rsidRPr="00126E87" w:rsidRDefault="00161527" w:rsidP="0037633E">
            <w:pPr>
              <w:pStyle w:val="ListParagraph"/>
              <w:rPr>
                <w:rFonts w:cs="Arial"/>
                <w:color w:val="000000" w:themeColor="text1"/>
                <w:sz w:val="22"/>
                <w:szCs w:val="22"/>
              </w:rPr>
            </w:pPr>
          </w:p>
        </w:tc>
        <w:tc>
          <w:tcPr>
            <w:tcW w:w="5782" w:type="dxa"/>
          </w:tcPr>
          <w:p w14:paraId="499B2E62" w14:textId="77777777" w:rsidR="00161527" w:rsidRDefault="00161527">
            <w:pPr>
              <w:rPr>
                <w:rFonts w:cs="Arial"/>
                <w:color w:val="000000" w:themeColor="text1"/>
                <w:sz w:val="22"/>
                <w:szCs w:val="22"/>
              </w:rPr>
            </w:pPr>
          </w:p>
          <w:p w14:paraId="65B244F2" w14:textId="2CD0B429" w:rsidR="00161527" w:rsidRPr="00EF70D2" w:rsidRDefault="00161527" w:rsidP="00EF70D2">
            <w:pPr>
              <w:rPr>
                <w:sz w:val="22"/>
              </w:rPr>
            </w:pPr>
            <w:r w:rsidRPr="00EF70D2">
              <w:rPr>
                <w:sz w:val="22"/>
              </w:rPr>
              <w:t>Evidence of commitment to General Practice</w:t>
            </w:r>
            <w:r w:rsidR="002752A9" w:rsidRPr="00EF70D2">
              <w:rPr>
                <w:sz w:val="22"/>
              </w:rPr>
              <w:t xml:space="preserve"> Training and Education</w:t>
            </w:r>
          </w:p>
          <w:p w14:paraId="07584981" w14:textId="77777777" w:rsidR="0037633E" w:rsidRPr="002752A9" w:rsidRDefault="0037633E" w:rsidP="0037633E">
            <w:pPr>
              <w:pStyle w:val="ListParagraph"/>
              <w:rPr>
                <w:sz w:val="22"/>
              </w:rPr>
            </w:pPr>
          </w:p>
          <w:p w14:paraId="494736DB" w14:textId="77777777" w:rsidR="00161527" w:rsidRPr="00CF1420" w:rsidRDefault="00161527" w:rsidP="004B5533">
            <w:pPr>
              <w:rPr>
                <w:sz w:val="10"/>
                <w:szCs w:val="12"/>
              </w:rPr>
            </w:pPr>
          </w:p>
          <w:p w14:paraId="46FE43B9" w14:textId="0D2E7069" w:rsidR="00161527" w:rsidRPr="00126E87" w:rsidRDefault="00161527" w:rsidP="00C46574">
            <w:pPr>
              <w:rPr>
                <w:rFonts w:cs="Arial"/>
                <w:color w:val="000000" w:themeColor="text1"/>
                <w:sz w:val="22"/>
                <w:szCs w:val="22"/>
              </w:rPr>
            </w:pPr>
          </w:p>
        </w:tc>
      </w:tr>
      <w:tr w:rsidR="00161527" w:rsidRPr="00126E87" w14:paraId="4135FA39" w14:textId="7DDEFB5C" w:rsidTr="00161527">
        <w:trPr>
          <w:trHeight w:val="1885"/>
        </w:trPr>
        <w:tc>
          <w:tcPr>
            <w:tcW w:w="2473" w:type="dxa"/>
          </w:tcPr>
          <w:p w14:paraId="1E501EF2" w14:textId="77777777" w:rsidR="00161527" w:rsidRDefault="00161527">
            <w:pPr>
              <w:rPr>
                <w:rFonts w:cs="Arial"/>
                <w:b/>
                <w:bCs/>
                <w:color w:val="000000" w:themeColor="text1"/>
                <w:sz w:val="22"/>
                <w:szCs w:val="22"/>
              </w:rPr>
            </w:pPr>
          </w:p>
          <w:p w14:paraId="70AC208C" w14:textId="5E5281F3" w:rsidR="00161527" w:rsidRPr="00126E87" w:rsidRDefault="00161527">
            <w:pPr>
              <w:rPr>
                <w:rFonts w:cs="Arial"/>
                <w:color w:val="000000" w:themeColor="text1"/>
                <w:sz w:val="22"/>
                <w:szCs w:val="22"/>
              </w:rPr>
            </w:pPr>
            <w:r>
              <w:rPr>
                <w:rFonts w:cs="Arial"/>
                <w:b/>
                <w:bCs/>
                <w:color w:val="000000" w:themeColor="text1"/>
                <w:sz w:val="22"/>
                <w:szCs w:val="22"/>
              </w:rPr>
              <w:t xml:space="preserve">Knowledge and Achievements </w:t>
            </w:r>
          </w:p>
        </w:tc>
        <w:tc>
          <w:tcPr>
            <w:tcW w:w="5782" w:type="dxa"/>
          </w:tcPr>
          <w:p w14:paraId="044576A9" w14:textId="77777777" w:rsidR="00161527" w:rsidRPr="007F1875" w:rsidRDefault="00161527">
            <w:pPr>
              <w:rPr>
                <w:rFonts w:cs="Arial"/>
                <w:sz w:val="16"/>
                <w:szCs w:val="16"/>
              </w:rPr>
            </w:pPr>
          </w:p>
          <w:p w14:paraId="6D02D060" w14:textId="7C3B269E" w:rsidR="00161527" w:rsidRPr="007F1875" w:rsidRDefault="00161527">
            <w:pPr>
              <w:rPr>
                <w:rFonts w:cs="Arial"/>
                <w:sz w:val="22"/>
                <w:szCs w:val="22"/>
              </w:rPr>
            </w:pPr>
            <w:r w:rsidRPr="007F1875">
              <w:rPr>
                <w:rFonts w:cs="Arial"/>
                <w:sz w:val="22"/>
                <w:szCs w:val="22"/>
              </w:rPr>
              <w:t>Demonstration of a commitment to develop the values, skills, competencies, and expertise required to deliver clinical and educational leadership and development.</w:t>
            </w:r>
          </w:p>
        </w:tc>
        <w:tc>
          <w:tcPr>
            <w:tcW w:w="5782" w:type="dxa"/>
          </w:tcPr>
          <w:p w14:paraId="4864DDE0" w14:textId="77777777" w:rsidR="00161527" w:rsidRPr="007F1875" w:rsidRDefault="00161527" w:rsidP="00C607E5">
            <w:pPr>
              <w:rPr>
                <w:rFonts w:cs="Arial"/>
                <w:sz w:val="16"/>
                <w:szCs w:val="16"/>
              </w:rPr>
            </w:pPr>
          </w:p>
          <w:p w14:paraId="67DAAE46" w14:textId="77E5DD39" w:rsidR="00161527" w:rsidRPr="007F1875" w:rsidRDefault="00161527" w:rsidP="00C607E5">
            <w:pPr>
              <w:rPr>
                <w:rFonts w:cs="Arial"/>
                <w:sz w:val="22"/>
                <w:szCs w:val="22"/>
              </w:rPr>
            </w:pPr>
            <w:r w:rsidRPr="007F1875">
              <w:rPr>
                <w:rFonts w:cs="Arial"/>
                <w:sz w:val="22"/>
                <w:szCs w:val="22"/>
              </w:rPr>
              <w:t>Demonstration of good general knowledge / broad interest in general practice and medical education.</w:t>
            </w:r>
          </w:p>
          <w:p w14:paraId="1D88B04A" w14:textId="77777777" w:rsidR="00161527" w:rsidRPr="007F1875" w:rsidRDefault="00161527" w:rsidP="00C607E5">
            <w:pPr>
              <w:rPr>
                <w:rFonts w:cs="Arial"/>
                <w:sz w:val="22"/>
                <w:szCs w:val="22"/>
              </w:rPr>
            </w:pPr>
          </w:p>
          <w:p w14:paraId="4D0BFA50" w14:textId="77777777" w:rsidR="00161527" w:rsidRPr="007F1875" w:rsidRDefault="00161527" w:rsidP="00C607E5">
            <w:pPr>
              <w:rPr>
                <w:rFonts w:cs="Arial"/>
                <w:sz w:val="22"/>
                <w:szCs w:val="22"/>
              </w:rPr>
            </w:pPr>
            <w:r w:rsidRPr="007F1875">
              <w:rPr>
                <w:rFonts w:cs="Arial"/>
                <w:sz w:val="22"/>
                <w:szCs w:val="22"/>
              </w:rPr>
              <w:t>Demonstration of an awareness of quality improvement processes.</w:t>
            </w:r>
          </w:p>
          <w:p w14:paraId="6F5F9723" w14:textId="750B4967" w:rsidR="00161527" w:rsidRPr="007F1875" w:rsidRDefault="00161527" w:rsidP="00C607E5">
            <w:pPr>
              <w:rPr>
                <w:rFonts w:cs="Arial"/>
                <w:sz w:val="22"/>
                <w:szCs w:val="22"/>
              </w:rPr>
            </w:pPr>
          </w:p>
        </w:tc>
      </w:tr>
      <w:tr w:rsidR="00161527" w:rsidRPr="00126E87" w14:paraId="3EF3189A" w14:textId="5A4B027A" w:rsidTr="00161527">
        <w:trPr>
          <w:trHeight w:val="2276"/>
        </w:trPr>
        <w:tc>
          <w:tcPr>
            <w:tcW w:w="2473" w:type="dxa"/>
          </w:tcPr>
          <w:p w14:paraId="1899B49A" w14:textId="77777777" w:rsidR="00161527" w:rsidRDefault="00161527">
            <w:pPr>
              <w:rPr>
                <w:rFonts w:cs="Arial"/>
                <w:b/>
                <w:bCs/>
                <w:color w:val="000000" w:themeColor="text1"/>
                <w:sz w:val="22"/>
                <w:szCs w:val="22"/>
              </w:rPr>
            </w:pPr>
          </w:p>
          <w:p w14:paraId="2ECD8AB2" w14:textId="02BFF153" w:rsidR="00161527" w:rsidRDefault="00161527">
            <w:pPr>
              <w:rPr>
                <w:rFonts w:cs="Arial"/>
                <w:b/>
                <w:bCs/>
                <w:color w:val="000000" w:themeColor="text1"/>
                <w:sz w:val="22"/>
                <w:szCs w:val="22"/>
              </w:rPr>
            </w:pPr>
            <w:r>
              <w:rPr>
                <w:rFonts w:cs="Arial"/>
                <w:b/>
                <w:bCs/>
                <w:color w:val="000000" w:themeColor="text1"/>
                <w:sz w:val="22"/>
                <w:szCs w:val="22"/>
              </w:rPr>
              <w:t xml:space="preserve">Educational and Personal Aspects </w:t>
            </w:r>
          </w:p>
          <w:p w14:paraId="46C09B48" w14:textId="77777777" w:rsidR="00161527" w:rsidRDefault="00161527">
            <w:pPr>
              <w:rPr>
                <w:rFonts w:cs="Arial"/>
                <w:b/>
                <w:bCs/>
                <w:color w:val="000000" w:themeColor="text1"/>
                <w:sz w:val="22"/>
                <w:szCs w:val="22"/>
              </w:rPr>
            </w:pPr>
          </w:p>
          <w:p w14:paraId="4ECD34BF" w14:textId="11AEE0A9" w:rsidR="00161527" w:rsidRPr="00126E87" w:rsidRDefault="00161527">
            <w:pPr>
              <w:rPr>
                <w:rFonts w:cs="Arial"/>
                <w:color w:val="000000" w:themeColor="text1"/>
                <w:sz w:val="22"/>
                <w:szCs w:val="22"/>
              </w:rPr>
            </w:pPr>
          </w:p>
        </w:tc>
        <w:tc>
          <w:tcPr>
            <w:tcW w:w="5782" w:type="dxa"/>
          </w:tcPr>
          <w:p w14:paraId="025C5047" w14:textId="77777777" w:rsidR="00161527" w:rsidRPr="007F1875" w:rsidRDefault="00161527" w:rsidP="005E7F62">
            <w:pPr>
              <w:spacing w:line="276" w:lineRule="auto"/>
              <w:rPr>
                <w:rFonts w:cs="Arial"/>
                <w:sz w:val="22"/>
                <w:szCs w:val="22"/>
              </w:rPr>
            </w:pPr>
          </w:p>
          <w:p w14:paraId="0A2FA861" w14:textId="247AE086" w:rsidR="00161527" w:rsidRPr="007F1875" w:rsidRDefault="00161527" w:rsidP="00B235A7">
            <w:pPr>
              <w:rPr>
                <w:rFonts w:cs="Arial"/>
                <w:sz w:val="22"/>
                <w:szCs w:val="22"/>
              </w:rPr>
            </w:pPr>
            <w:r w:rsidRPr="007F1875">
              <w:rPr>
                <w:rFonts w:cs="Arial"/>
                <w:sz w:val="22"/>
                <w:szCs w:val="22"/>
              </w:rPr>
              <w:t xml:space="preserve">Demonstration of a commitment to develop the values, skills, competencies, and expertise required to deliver GP education and to develop the systems around GP education. </w:t>
            </w:r>
          </w:p>
        </w:tc>
        <w:tc>
          <w:tcPr>
            <w:tcW w:w="5782" w:type="dxa"/>
          </w:tcPr>
          <w:p w14:paraId="7B3D2D99" w14:textId="77777777" w:rsidR="00161527" w:rsidRPr="007F1875" w:rsidRDefault="00161527" w:rsidP="00466DD8">
            <w:pPr>
              <w:rPr>
                <w:rFonts w:cs="Arial"/>
                <w:sz w:val="22"/>
                <w:szCs w:val="22"/>
              </w:rPr>
            </w:pPr>
          </w:p>
          <w:p w14:paraId="2A37058F" w14:textId="658A070B" w:rsidR="00161527" w:rsidRPr="007F1875" w:rsidRDefault="00161527" w:rsidP="00466DD8">
            <w:pPr>
              <w:rPr>
                <w:rFonts w:cs="Arial"/>
                <w:sz w:val="22"/>
                <w:szCs w:val="22"/>
              </w:rPr>
            </w:pPr>
            <w:r w:rsidRPr="007F1875">
              <w:rPr>
                <w:rFonts w:cs="Arial"/>
                <w:sz w:val="22"/>
                <w:szCs w:val="22"/>
              </w:rPr>
              <w:t xml:space="preserve">Demonstration of good general knowledge / broad interest in general practice and medical education. </w:t>
            </w:r>
          </w:p>
          <w:p w14:paraId="25666DAB" w14:textId="77777777" w:rsidR="00161527" w:rsidRPr="007F1875" w:rsidRDefault="00161527" w:rsidP="00466DD8">
            <w:pPr>
              <w:rPr>
                <w:rFonts w:cs="Arial"/>
                <w:sz w:val="22"/>
                <w:szCs w:val="22"/>
              </w:rPr>
            </w:pPr>
          </w:p>
          <w:p w14:paraId="14453AF2" w14:textId="573E2E1A" w:rsidR="00161527" w:rsidRPr="007F1875" w:rsidRDefault="00161527" w:rsidP="00466DD8">
            <w:pPr>
              <w:rPr>
                <w:rFonts w:cs="Arial"/>
                <w:sz w:val="22"/>
                <w:szCs w:val="22"/>
              </w:rPr>
            </w:pPr>
            <w:r w:rsidRPr="007F1875">
              <w:rPr>
                <w:rFonts w:cs="Arial"/>
                <w:sz w:val="22"/>
                <w:szCs w:val="22"/>
              </w:rPr>
              <w:t>Demonstration of personal reasons for applying for this programme.</w:t>
            </w:r>
          </w:p>
        </w:tc>
      </w:tr>
      <w:tr w:rsidR="00161527" w:rsidRPr="00126E87" w14:paraId="09D65B02" w14:textId="35C9FCF9" w:rsidTr="00161527">
        <w:trPr>
          <w:trHeight w:val="1218"/>
        </w:trPr>
        <w:tc>
          <w:tcPr>
            <w:tcW w:w="2473" w:type="dxa"/>
          </w:tcPr>
          <w:p w14:paraId="5F9A1B7E" w14:textId="77777777" w:rsidR="00161527" w:rsidRDefault="00161527">
            <w:pPr>
              <w:rPr>
                <w:rFonts w:cs="Arial"/>
                <w:b/>
                <w:bCs/>
                <w:color w:val="000000" w:themeColor="text1"/>
                <w:sz w:val="22"/>
                <w:szCs w:val="22"/>
              </w:rPr>
            </w:pPr>
          </w:p>
          <w:p w14:paraId="39D76BC2" w14:textId="5BB23B4F" w:rsidR="00161527" w:rsidRDefault="00161527">
            <w:pPr>
              <w:rPr>
                <w:rFonts w:cs="Arial"/>
                <w:b/>
                <w:bCs/>
                <w:color w:val="000000" w:themeColor="text1"/>
                <w:sz w:val="22"/>
                <w:szCs w:val="22"/>
              </w:rPr>
            </w:pPr>
            <w:r>
              <w:rPr>
                <w:rFonts w:cs="Arial"/>
                <w:b/>
                <w:bCs/>
                <w:color w:val="000000" w:themeColor="text1"/>
                <w:sz w:val="22"/>
                <w:szCs w:val="22"/>
              </w:rPr>
              <w:t xml:space="preserve">Communication Skills </w:t>
            </w:r>
          </w:p>
          <w:p w14:paraId="7813DB69" w14:textId="77777777" w:rsidR="00161527" w:rsidRDefault="00161527">
            <w:pPr>
              <w:rPr>
                <w:rFonts w:cs="Arial"/>
                <w:b/>
                <w:bCs/>
                <w:color w:val="000000" w:themeColor="text1"/>
                <w:sz w:val="22"/>
                <w:szCs w:val="22"/>
              </w:rPr>
            </w:pPr>
          </w:p>
          <w:p w14:paraId="728E3603" w14:textId="184DB48A" w:rsidR="00161527" w:rsidRDefault="00161527">
            <w:pPr>
              <w:rPr>
                <w:rFonts w:cs="Arial"/>
                <w:b/>
                <w:bCs/>
                <w:color w:val="000000" w:themeColor="text1"/>
                <w:sz w:val="22"/>
                <w:szCs w:val="22"/>
              </w:rPr>
            </w:pPr>
          </w:p>
        </w:tc>
        <w:tc>
          <w:tcPr>
            <w:tcW w:w="5782" w:type="dxa"/>
          </w:tcPr>
          <w:p w14:paraId="1F34E5E3" w14:textId="77777777" w:rsidR="00161527" w:rsidRPr="007F1875" w:rsidRDefault="00161527" w:rsidP="00C63323">
            <w:pPr>
              <w:spacing w:line="276" w:lineRule="auto"/>
              <w:rPr>
                <w:rFonts w:cs="Arial"/>
                <w:sz w:val="16"/>
                <w:szCs w:val="16"/>
              </w:rPr>
            </w:pPr>
          </w:p>
          <w:p w14:paraId="54BB0980" w14:textId="43EE11FD" w:rsidR="00161527" w:rsidRPr="007F1875" w:rsidRDefault="00161527" w:rsidP="00C63323">
            <w:pPr>
              <w:spacing w:line="276" w:lineRule="auto"/>
              <w:rPr>
                <w:rFonts w:cs="Arial"/>
                <w:sz w:val="22"/>
                <w:szCs w:val="22"/>
              </w:rPr>
            </w:pPr>
            <w:r w:rsidRPr="007F1875">
              <w:rPr>
                <w:rFonts w:cs="Arial"/>
                <w:sz w:val="22"/>
                <w:szCs w:val="22"/>
              </w:rPr>
              <w:t>Evidence of good communication and team working skills.</w:t>
            </w:r>
          </w:p>
        </w:tc>
        <w:tc>
          <w:tcPr>
            <w:tcW w:w="5782" w:type="dxa"/>
          </w:tcPr>
          <w:p w14:paraId="26684972" w14:textId="77777777" w:rsidR="00161527" w:rsidRPr="007F1875" w:rsidRDefault="00161527">
            <w:pPr>
              <w:rPr>
                <w:rFonts w:cs="Arial"/>
                <w:sz w:val="22"/>
                <w:szCs w:val="22"/>
              </w:rPr>
            </w:pPr>
          </w:p>
        </w:tc>
      </w:tr>
    </w:tbl>
    <w:p w14:paraId="779480E8" w14:textId="7D8C2F74" w:rsidR="003E436A" w:rsidRDefault="003E436A">
      <w:pPr>
        <w:rPr>
          <w:rFonts w:cs="Arial"/>
          <w:color w:val="000000" w:themeColor="text1"/>
          <w:sz w:val="22"/>
          <w:szCs w:val="22"/>
        </w:rPr>
      </w:pPr>
    </w:p>
    <w:p w14:paraId="06056AC8" w14:textId="18DE3507" w:rsidR="00161527" w:rsidRDefault="00161527">
      <w:pPr>
        <w:rPr>
          <w:rFonts w:cs="Arial"/>
          <w:color w:val="000000" w:themeColor="text1"/>
          <w:sz w:val="22"/>
          <w:szCs w:val="22"/>
        </w:rPr>
      </w:pPr>
    </w:p>
    <w:tbl>
      <w:tblPr>
        <w:tblW w:w="5029" w:type="pct"/>
        <w:tblBorders>
          <w:top w:val="nil"/>
          <w:left w:val="nil"/>
          <w:right w:val="nil"/>
        </w:tblBorders>
        <w:tblLook w:val="0000" w:firstRow="0" w:lastRow="0" w:firstColumn="0" w:lastColumn="0" w:noHBand="0" w:noVBand="0"/>
      </w:tblPr>
      <w:tblGrid>
        <w:gridCol w:w="14029"/>
      </w:tblGrid>
      <w:tr w:rsidR="002F79F3" w:rsidRPr="00126E87" w14:paraId="551B7C59" w14:textId="77777777" w:rsidTr="00201D8D">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7DD0FA33" w14:textId="77777777" w:rsidR="002F79F3" w:rsidRPr="00126E87" w:rsidRDefault="002F79F3" w:rsidP="00201D8D">
            <w:pPr>
              <w:widowControl w:val="0"/>
              <w:autoSpaceDE w:val="0"/>
              <w:autoSpaceDN w:val="0"/>
              <w:adjustRightInd w:val="0"/>
              <w:spacing w:line="340" w:lineRule="atLeast"/>
              <w:rPr>
                <w:rFonts w:cs="Arial"/>
                <w:color w:val="000000" w:themeColor="text1"/>
                <w:sz w:val="22"/>
                <w:szCs w:val="22"/>
              </w:rPr>
            </w:pPr>
            <w:r w:rsidRPr="00E92FDA">
              <w:rPr>
                <w:rFonts w:cs="Arial"/>
                <w:b/>
                <w:bCs/>
                <w:color w:val="FFFFFF" w:themeColor="background1"/>
                <w:sz w:val="22"/>
                <w:szCs w:val="22"/>
              </w:rPr>
              <w:t xml:space="preserve">Key responsibilities: </w:t>
            </w:r>
          </w:p>
        </w:tc>
      </w:tr>
      <w:tr w:rsidR="002F79F3" w:rsidRPr="002A46C8" w14:paraId="2CDF46C5" w14:textId="77777777" w:rsidTr="00201D8D">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A7E4C0F" w14:textId="77777777" w:rsidR="002F79F3" w:rsidRPr="002532D7" w:rsidRDefault="002F79F3" w:rsidP="00201D8D">
            <w:pPr>
              <w:rPr>
                <w:rFonts w:eastAsiaTheme="minorHAnsi" w:cs="Arial"/>
                <w:b/>
                <w:bCs/>
                <w:sz w:val="14"/>
                <w:szCs w:val="14"/>
              </w:rPr>
            </w:pPr>
          </w:p>
          <w:p w14:paraId="1818BCC7" w14:textId="42A5C0C0" w:rsidR="00F27546" w:rsidRDefault="00F27546" w:rsidP="00F27546">
            <w:pPr>
              <w:pStyle w:val="ListParagraph"/>
              <w:numPr>
                <w:ilvl w:val="0"/>
                <w:numId w:val="17"/>
              </w:numPr>
              <w:spacing w:after="160" w:line="278" w:lineRule="auto"/>
              <w:rPr>
                <w:rFonts w:eastAsiaTheme="minorHAnsi" w:cs="Arial"/>
                <w:sz w:val="22"/>
                <w:szCs w:val="22"/>
              </w:rPr>
            </w:pPr>
            <w:r>
              <w:rPr>
                <w:rFonts w:eastAsiaTheme="minorHAnsi" w:cs="Arial"/>
                <w:sz w:val="22"/>
                <w:szCs w:val="22"/>
              </w:rPr>
              <w:t>Work alongside the local Training Hubs, ICBs and other key stakeholders as required on:</w:t>
            </w:r>
          </w:p>
          <w:p w14:paraId="42752B9D" w14:textId="77777777" w:rsidR="00F27546" w:rsidRDefault="00F27546" w:rsidP="00F27546">
            <w:pPr>
              <w:pStyle w:val="ListParagraph"/>
              <w:numPr>
                <w:ilvl w:val="1"/>
                <w:numId w:val="17"/>
              </w:numPr>
              <w:spacing w:after="160" w:line="278" w:lineRule="auto"/>
              <w:rPr>
                <w:rFonts w:eastAsiaTheme="minorHAnsi" w:cs="Arial"/>
                <w:sz w:val="22"/>
                <w:szCs w:val="22"/>
              </w:rPr>
            </w:pPr>
            <w:r>
              <w:rPr>
                <w:rFonts w:eastAsiaTheme="minorHAnsi" w:cs="Arial"/>
                <w:sz w:val="22"/>
                <w:szCs w:val="22"/>
              </w:rPr>
              <w:t>Mapping and Analysis</w:t>
            </w:r>
          </w:p>
          <w:p w14:paraId="6D1CFF56" w14:textId="77777777" w:rsidR="00F27546" w:rsidRDefault="00F27546" w:rsidP="00F27546">
            <w:pPr>
              <w:pStyle w:val="ListParagraph"/>
              <w:numPr>
                <w:ilvl w:val="1"/>
                <w:numId w:val="17"/>
              </w:numPr>
              <w:spacing w:after="160" w:line="278" w:lineRule="auto"/>
              <w:rPr>
                <w:rFonts w:eastAsiaTheme="minorHAnsi" w:cs="Arial"/>
                <w:sz w:val="22"/>
                <w:szCs w:val="22"/>
              </w:rPr>
            </w:pPr>
            <w:r>
              <w:rPr>
                <w:rFonts w:eastAsiaTheme="minorHAnsi" w:cs="Arial"/>
                <w:sz w:val="22"/>
                <w:szCs w:val="22"/>
              </w:rPr>
              <w:t>Stakeholder Engagement</w:t>
            </w:r>
          </w:p>
          <w:p w14:paraId="27DA26D7" w14:textId="77777777" w:rsidR="00F27546" w:rsidRDefault="00F27546" w:rsidP="00F27546">
            <w:pPr>
              <w:pStyle w:val="ListParagraph"/>
              <w:numPr>
                <w:ilvl w:val="1"/>
                <w:numId w:val="17"/>
              </w:numPr>
              <w:spacing w:after="160" w:line="278" w:lineRule="auto"/>
              <w:rPr>
                <w:rFonts w:eastAsiaTheme="minorHAnsi" w:cs="Arial"/>
                <w:sz w:val="22"/>
                <w:szCs w:val="22"/>
              </w:rPr>
            </w:pPr>
            <w:r>
              <w:rPr>
                <w:rFonts w:eastAsiaTheme="minorHAnsi" w:cs="Arial"/>
                <w:sz w:val="22"/>
                <w:szCs w:val="22"/>
              </w:rPr>
              <w:t>Relevant project development and implementation</w:t>
            </w:r>
          </w:p>
          <w:p w14:paraId="3FBB30B7" w14:textId="77777777" w:rsidR="00F27546" w:rsidRDefault="00F27546" w:rsidP="00F27546">
            <w:pPr>
              <w:pStyle w:val="ListParagraph"/>
              <w:numPr>
                <w:ilvl w:val="1"/>
                <w:numId w:val="17"/>
              </w:numPr>
              <w:spacing w:after="160" w:line="278" w:lineRule="auto"/>
              <w:rPr>
                <w:rFonts w:eastAsiaTheme="minorHAnsi" w:cs="Arial"/>
                <w:sz w:val="22"/>
                <w:szCs w:val="22"/>
              </w:rPr>
            </w:pPr>
            <w:r>
              <w:rPr>
                <w:rFonts w:eastAsiaTheme="minorHAnsi" w:cs="Arial"/>
                <w:sz w:val="22"/>
                <w:szCs w:val="22"/>
              </w:rPr>
              <w:lastRenderedPageBreak/>
              <w:t>Evaluation and reporting</w:t>
            </w:r>
          </w:p>
          <w:p w14:paraId="7D3D1F1B" w14:textId="574B1F0E" w:rsidR="00F27546" w:rsidRPr="00F27546" w:rsidRDefault="00F27546" w:rsidP="00F27546">
            <w:pPr>
              <w:pStyle w:val="ListParagraph"/>
              <w:numPr>
                <w:ilvl w:val="1"/>
                <w:numId w:val="17"/>
              </w:numPr>
              <w:spacing w:after="160" w:line="278" w:lineRule="auto"/>
              <w:rPr>
                <w:rFonts w:eastAsiaTheme="minorHAnsi" w:cs="Arial"/>
                <w:sz w:val="22"/>
                <w:szCs w:val="22"/>
              </w:rPr>
            </w:pPr>
            <w:r>
              <w:rPr>
                <w:rFonts w:eastAsiaTheme="minorHAnsi" w:cs="Arial"/>
                <w:sz w:val="22"/>
                <w:szCs w:val="22"/>
              </w:rPr>
              <w:t>Dissemination and Learning</w:t>
            </w:r>
          </w:p>
        </w:tc>
      </w:tr>
    </w:tbl>
    <w:p w14:paraId="1FA51421" w14:textId="1B01ED83" w:rsidR="00161527" w:rsidRDefault="00161527">
      <w:pPr>
        <w:rPr>
          <w:rFonts w:cs="Arial"/>
          <w:color w:val="000000" w:themeColor="text1"/>
          <w:sz w:val="22"/>
          <w:szCs w:val="22"/>
        </w:rPr>
      </w:pPr>
    </w:p>
    <w:p w14:paraId="340184EB" w14:textId="39550C67" w:rsidR="00161527" w:rsidRDefault="00161527">
      <w:pPr>
        <w:rPr>
          <w:rFonts w:cs="Arial"/>
          <w:color w:val="000000" w:themeColor="text1"/>
          <w:sz w:val="22"/>
          <w:szCs w:val="22"/>
        </w:rPr>
      </w:pPr>
    </w:p>
    <w:p w14:paraId="0EC9ADE1" w14:textId="77777777" w:rsidR="00161527" w:rsidRPr="00126E87" w:rsidRDefault="00161527">
      <w:pPr>
        <w:rPr>
          <w:rFonts w:cs="Arial"/>
          <w:color w:val="000000" w:themeColor="text1"/>
          <w:sz w:val="22"/>
          <w:szCs w:val="22"/>
        </w:rPr>
      </w:pPr>
    </w:p>
    <w:tbl>
      <w:tblPr>
        <w:tblW w:w="5029" w:type="pct"/>
        <w:tblBorders>
          <w:top w:val="nil"/>
          <w:left w:val="nil"/>
          <w:right w:val="nil"/>
        </w:tblBorders>
        <w:tblLook w:val="0000" w:firstRow="0" w:lastRow="0" w:firstColumn="0" w:lastColumn="0" w:noHBand="0" w:noVBand="0"/>
      </w:tblPr>
      <w:tblGrid>
        <w:gridCol w:w="14029"/>
      </w:tblGrid>
      <w:tr w:rsidR="00006E02" w:rsidRPr="00126E87" w14:paraId="7B3223B6" w14:textId="77777777" w:rsidTr="00580AE2">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1807B832" w14:textId="24BD0A59" w:rsidR="004D47F2" w:rsidRPr="00126E87" w:rsidRDefault="002F79F3" w:rsidP="004D47F2">
            <w:pPr>
              <w:widowControl w:val="0"/>
              <w:autoSpaceDE w:val="0"/>
              <w:autoSpaceDN w:val="0"/>
              <w:adjustRightInd w:val="0"/>
              <w:spacing w:line="340" w:lineRule="atLeast"/>
              <w:rPr>
                <w:rFonts w:cs="Arial"/>
                <w:color w:val="000000" w:themeColor="text1"/>
                <w:sz w:val="22"/>
                <w:szCs w:val="22"/>
              </w:rPr>
            </w:pPr>
            <w:r>
              <w:rPr>
                <w:rFonts w:cs="Arial"/>
                <w:b/>
                <w:bCs/>
                <w:color w:val="FFFFFF" w:themeColor="background1"/>
                <w:sz w:val="22"/>
                <w:szCs w:val="22"/>
              </w:rPr>
              <w:t>Expected Outcomes</w:t>
            </w:r>
            <w:r w:rsidR="004D47F2" w:rsidRPr="00E92FDA">
              <w:rPr>
                <w:rFonts w:cs="Arial"/>
                <w:b/>
                <w:bCs/>
                <w:color w:val="FFFFFF" w:themeColor="background1"/>
                <w:sz w:val="22"/>
                <w:szCs w:val="22"/>
              </w:rPr>
              <w:t xml:space="preserve">: </w:t>
            </w:r>
          </w:p>
        </w:tc>
      </w:tr>
      <w:tr w:rsidR="00006E02" w:rsidRPr="00126E87" w14:paraId="54B42D80" w14:textId="77777777" w:rsidTr="00580AE2">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8EC7463" w14:textId="77777777" w:rsidR="002532D7" w:rsidRPr="002532D7" w:rsidRDefault="002532D7" w:rsidP="002532D7">
            <w:pPr>
              <w:rPr>
                <w:rFonts w:eastAsiaTheme="minorHAnsi" w:cs="Arial"/>
                <w:b/>
                <w:bCs/>
                <w:sz w:val="14"/>
                <w:szCs w:val="14"/>
              </w:rPr>
            </w:pPr>
          </w:p>
          <w:p w14:paraId="1A486107" w14:textId="77777777" w:rsidR="006C4732" w:rsidRDefault="006C4732" w:rsidP="006C4732">
            <w:pPr>
              <w:rPr>
                <w:rFonts w:cs="Arial"/>
              </w:rPr>
            </w:pPr>
            <w:r w:rsidRPr="003928BE">
              <w:rPr>
                <w:rFonts w:cs="Arial"/>
              </w:rPr>
              <w:t>By March 2026, the fellowship aims to achieve:</w:t>
            </w:r>
          </w:p>
          <w:p w14:paraId="25AF54BA" w14:textId="77777777" w:rsidR="006C4732" w:rsidRPr="003928BE" w:rsidRDefault="006C4732" w:rsidP="006C4732">
            <w:pPr>
              <w:rPr>
                <w:rFonts w:cs="Arial"/>
              </w:rPr>
            </w:pPr>
          </w:p>
          <w:p w14:paraId="65BF1285" w14:textId="1031AC19" w:rsidR="006C4732" w:rsidRPr="003928BE" w:rsidRDefault="006C4732" w:rsidP="006C4732">
            <w:pPr>
              <w:numPr>
                <w:ilvl w:val="0"/>
                <w:numId w:val="17"/>
              </w:numPr>
              <w:spacing w:after="160" w:line="278" w:lineRule="auto"/>
              <w:rPr>
                <w:rFonts w:cs="Arial"/>
              </w:rPr>
            </w:pPr>
            <w:r w:rsidRPr="003928BE">
              <w:rPr>
                <w:rFonts w:cs="Arial"/>
              </w:rPr>
              <w:t xml:space="preserve">A clearer understanding of </w:t>
            </w:r>
            <w:r w:rsidR="00F27546">
              <w:rPr>
                <w:rFonts w:cs="Arial"/>
              </w:rPr>
              <w:t>Integrated Neighbourhood teams</w:t>
            </w:r>
            <w:r w:rsidRPr="003928BE">
              <w:rPr>
                <w:rFonts w:cs="Arial"/>
              </w:rPr>
              <w:t xml:space="preserve"> </w:t>
            </w:r>
          </w:p>
          <w:p w14:paraId="6E36755F" w14:textId="0D5A3D12" w:rsidR="006C4732" w:rsidRDefault="00F27546" w:rsidP="006C4732">
            <w:pPr>
              <w:numPr>
                <w:ilvl w:val="0"/>
                <w:numId w:val="17"/>
              </w:numPr>
              <w:spacing w:after="160" w:line="278" w:lineRule="auto"/>
              <w:rPr>
                <w:rFonts w:cs="Arial"/>
              </w:rPr>
            </w:pPr>
            <w:r>
              <w:rPr>
                <w:rFonts w:cs="Arial"/>
              </w:rPr>
              <w:t>Collaborative working</w:t>
            </w:r>
          </w:p>
          <w:p w14:paraId="20E6E38C" w14:textId="78F61398" w:rsidR="002A46C8" w:rsidRPr="002A46C8" w:rsidRDefault="002A46C8" w:rsidP="00F27546">
            <w:pPr>
              <w:spacing w:after="160" w:line="278" w:lineRule="auto"/>
              <w:ind w:left="360"/>
              <w:rPr>
                <w:rFonts w:eastAsiaTheme="minorHAnsi" w:cs="Arial"/>
                <w:sz w:val="22"/>
                <w:szCs w:val="22"/>
              </w:rPr>
            </w:pPr>
          </w:p>
        </w:tc>
      </w:tr>
    </w:tbl>
    <w:p w14:paraId="703D4C61" w14:textId="28BE87E8" w:rsidR="004D47F2" w:rsidRDefault="004D47F2"/>
    <w:tbl>
      <w:tblPr>
        <w:tblW w:w="5029" w:type="pct"/>
        <w:tblBorders>
          <w:top w:val="nil"/>
          <w:left w:val="nil"/>
          <w:right w:val="nil"/>
        </w:tblBorders>
        <w:tblLook w:val="0000" w:firstRow="0" w:lastRow="0" w:firstColumn="0" w:lastColumn="0" w:noHBand="0" w:noVBand="0"/>
      </w:tblPr>
      <w:tblGrid>
        <w:gridCol w:w="14029"/>
      </w:tblGrid>
      <w:tr w:rsidR="007C04E1" w:rsidRPr="00126E87" w14:paraId="36F4A23E" w14:textId="77777777" w:rsidTr="00201D8D">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003893"/>
            <w:tcMar>
              <w:top w:w="20" w:type="nil"/>
              <w:left w:w="20" w:type="nil"/>
              <w:bottom w:w="20" w:type="nil"/>
              <w:right w:w="20" w:type="nil"/>
            </w:tcMar>
            <w:vAlign w:val="center"/>
          </w:tcPr>
          <w:p w14:paraId="6AAE2CAC" w14:textId="2043A580" w:rsidR="007C04E1" w:rsidRPr="00126E87" w:rsidRDefault="007C04E1" w:rsidP="00201D8D">
            <w:pPr>
              <w:widowControl w:val="0"/>
              <w:autoSpaceDE w:val="0"/>
              <w:autoSpaceDN w:val="0"/>
              <w:adjustRightInd w:val="0"/>
              <w:spacing w:line="340" w:lineRule="atLeast"/>
              <w:rPr>
                <w:rFonts w:cs="Arial"/>
                <w:color w:val="000000" w:themeColor="text1"/>
                <w:sz w:val="22"/>
                <w:szCs w:val="22"/>
              </w:rPr>
            </w:pPr>
            <w:r>
              <w:rPr>
                <w:rFonts w:cs="Arial"/>
                <w:b/>
                <w:bCs/>
                <w:color w:val="FFFFFF" w:themeColor="background1"/>
                <w:sz w:val="22"/>
                <w:szCs w:val="22"/>
              </w:rPr>
              <w:t>Support and Supervision</w:t>
            </w:r>
            <w:r w:rsidRPr="00E92FDA">
              <w:rPr>
                <w:rFonts w:cs="Arial"/>
                <w:b/>
                <w:bCs/>
                <w:color w:val="FFFFFF" w:themeColor="background1"/>
                <w:sz w:val="22"/>
                <w:szCs w:val="22"/>
              </w:rPr>
              <w:t xml:space="preserve">: </w:t>
            </w:r>
          </w:p>
        </w:tc>
      </w:tr>
      <w:tr w:rsidR="007C04E1" w:rsidRPr="002A46C8" w14:paraId="7A3B7A5B" w14:textId="77777777" w:rsidTr="00201D8D">
        <w:trPr>
          <w:trHeight w:val="45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201039B" w14:textId="77777777" w:rsidR="007C04E1" w:rsidRPr="002532D7" w:rsidRDefault="007C04E1" w:rsidP="00201D8D">
            <w:pPr>
              <w:rPr>
                <w:rFonts w:eastAsiaTheme="minorHAnsi" w:cs="Arial"/>
                <w:b/>
                <w:bCs/>
                <w:sz w:val="14"/>
                <w:szCs w:val="14"/>
              </w:rPr>
            </w:pPr>
          </w:p>
          <w:p w14:paraId="677D8020" w14:textId="77777777" w:rsidR="007C04E1" w:rsidRDefault="002F79F3" w:rsidP="002F79F3">
            <w:pPr>
              <w:pStyle w:val="ListParagraph"/>
              <w:spacing w:after="160" w:line="278" w:lineRule="auto"/>
              <w:ind w:left="360"/>
              <w:rPr>
                <w:rFonts w:cs="Arial"/>
              </w:rPr>
            </w:pPr>
            <w:r>
              <w:rPr>
                <w:rFonts w:cs="Arial"/>
              </w:rPr>
              <w:t>Fellows will receive:</w:t>
            </w:r>
          </w:p>
          <w:p w14:paraId="7D367C8A" w14:textId="77777777" w:rsidR="002F79F3" w:rsidRDefault="002F79F3" w:rsidP="002F79F3">
            <w:pPr>
              <w:pStyle w:val="ListParagraph"/>
              <w:spacing w:after="160" w:line="278" w:lineRule="auto"/>
              <w:ind w:left="360"/>
              <w:rPr>
                <w:rFonts w:cs="Arial"/>
              </w:rPr>
            </w:pPr>
          </w:p>
          <w:p w14:paraId="4623486D" w14:textId="27F916C3" w:rsidR="0091519B" w:rsidRPr="003928BE" w:rsidRDefault="0091519B" w:rsidP="0091519B">
            <w:pPr>
              <w:numPr>
                <w:ilvl w:val="0"/>
                <w:numId w:val="29"/>
              </w:numPr>
              <w:spacing w:after="160" w:line="278" w:lineRule="auto"/>
              <w:rPr>
                <w:rFonts w:cs="Arial"/>
              </w:rPr>
            </w:pPr>
            <w:r w:rsidRPr="003928BE">
              <w:rPr>
                <w:rFonts w:cs="Arial"/>
              </w:rPr>
              <w:t xml:space="preserve">Individual support from </w:t>
            </w:r>
            <w:r w:rsidR="00F27546">
              <w:rPr>
                <w:rFonts w:cs="Arial"/>
              </w:rPr>
              <w:t>the Primary Care School, the Training Hub and the ICB</w:t>
            </w:r>
          </w:p>
          <w:p w14:paraId="529E49CD" w14:textId="19EB036B" w:rsidR="0091519B" w:rsidRPr="003928BE" w:rsidRDefault="0091519B" w:rsidP="0091519B">
            <w:pPr>
              <w:numPr>
                <w:ilvl w:val="0"/>
                <w:numId w:val="29"/>
              </w:numPr>
              <w:spacing w:after="160" w:line="278" w:lineRule="auto"/>
              <w:rPr>
                <w:rFonts w:cs="Arial"/>
              </w:rPr>
            </w:pPr>
            <w:r w:rsidRPr="003928BE">
              <w:rPr>
                <w:rFonts w:cs="Arial"/>
              </w:rPr>
              <w:t xml:space="preserve">Group </w:t>
            </w:r>
            <w:r>
              <w:rPr>
                <w:rFonts w:cs="Arial"/>
              </w:rPr>
              <w:t xml:space="preserve">/ peer </w:t>
            </w:r>
            <w:r w:rsidRPr="003928BE">
              <w:rPr>
                <w:rFonts w:cs="Arial"/>
              </w:rPr>
              <w:t xml:space="preserve">support </w:t>
            </w:r>
          </w:p>
          <w:p w14:paraId="1D820CE6" w14:textId="77777777" w:rsidR="0091519B" w:rsidRPr="003928BE" w:rsidRDefault="0091519B" w:rsidP="0091519B">
            <w:pPr>
              <w:numPr>
                <w:ilvl w:val="0"/>
                <w:numId w:val="29"/>
              </w:numPr>
              <w:spacing w:after="160" w:line="278" w:lineRule="auto"/>
              <w:rPr>
                <w:rFonts w:cs="Arial"/>
              </w:rPr>
            </w:pPr>
            <w:r w:rsidRPr="003928BE">
              <w:rPr>
                <w:rFonts w:cs="Arial"/>
              </w:rPr>
              <w:t>leadership, quality improvement, and medical education skills development</w:t>
            </w:r>
          </w:p>
          <w:p w14:paraId="716CE935" w14:textId="0C5F42D6" w:rsidR="002F79F3" w:rsidRPr="0091519B" w:rsidRDefault="002F79F3" w:rsidP="0091519B">
            <w:pPr>
              <w:spacing w:after="160" w:line="278" w:lineRule="auto"/>
              <w:rPr>
                <w:rFonts w:eastAsiaTheme="minorHAnsi" w:cs="Arial"/>
                <w:sz w:val="22"/>
                <w:szCs w:val="22"/>
              </w:rPr>
            </w:pPr>
          </w:p>
        </w:tc>
      </w:tr>
    </w:tbl>
    <w:p w14:paraId="30709DE2" w14:textId="6B65AF55" w:rsidR="009625C7" w:rsidRPr="009625C7" w:rsidRDefault="009625C7" w:rsidP="009625C7"/>
    <w:p w14:paraId="667B754E" w14:textId="6B093841" w:rsidR="009625C7" w:rsidRDefault="009625C7" w:rsidP="00580AE2">
      <w:pPr>
        <w:tabs>
          <w:tab w:val="left" w:pos="11610"/>
        </w:tabs>
      </w:pPr>
      <w:r>
        <w:tab/>
      </w:r>
    </w:p>
    <w:p w14:paraId="7A1C5955" w14:textId="5056878D" w:rsidR="005665CE" w:rsidRPr="000772A8" w:rsidRDefault="005665CE" w:rsidP="000772A8">
      <w:pPr>
        <w:rPr>
          <w:color w:val="E28C05"/>
        </w:rPr>
      </w:pPr>
    </w:p>
    <w:sectPr w:rsidR="005665CE" w:rsidRPr="000772A8" w:rsidSect="0091519B">
      <w:headerReference w:type="default" r:id="rId11"/>
      <w:footerReference w:type="default" r:id="rId12"/>
      <w:pgSz w:w="16838" w:h="11906" w:orient="landscape"/>
      <w:pgMar w:top="172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ED3C" w14:textId="77777777" w:rsidR="00AE6B8C" w:rsidRDefault="00AE6B8C" w:rsidP="004D47F2">
      <w:r>
        <w:separator/>
      </w:r>
    </w:p>
  </w:endnote>
  <w:endnote w:type="continuationSeparator" w:id="0">
    <w:p w14:paraId="717FB010" w14:textId="77777777" w:rsidR="00AE6B8C" w:rsidRDefault="00AE6B8C" w:rsidP="004D47F2">
      <w:r>
        <w:continuationSeparator/>
      </w:r>
    </w:p>
  </w:endnote>
  <w:endnote w:type="continuationNotice" w:id="1">
    <w:p w14:paraId="6BBE2067" w14:textId="77777777" w:rsidR="00AE6B8C" w:rsidRDefault="00AE6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B746" w14:textId="185A2CF7" w:rsidR="00957B86" w:rsidRPr="00957B86" w:rsidRDefault="00957B86" w:rsidP="00957B86">
    <w:pPr>
      <w:pStyle w:val="Footer"/>
    </w:pPr>
    <w:r>
      <w:rPr>
        <w:noProof/>
      </w:rPr>
      <w:drawing>
        <wp:anchor distT="0" distB="0" distL="114300" distR="114300" simplePos="0" relativeHeight="251658240" behindDoc="0" locked="0" layoutInCell="1" allowOverlap="1" wp14:anchorId="567BB1A2" wp14:editId="34F7AF41">
          <wp:simplePos x="0" y="0"/>
          <wp:positionH relativeFrom="column">
            <wp:posOffset>6200775</wp:posOffset>
          </wp:positionH>
          <wp:positionV relativeFrom="paragraph">
            <wp:posOffset>103505</wp:posOffset>
          </wp:positionV>
          <wp:extent cx="3602743" cy="137160"/>
          <wp:effectExtent l="0" t="0" r="0" b="0"/>
          <wp:wrapThrough wrapText="bothSides">
            <wp:wrapPolygon edited="0">
              <wp:start x="0" y="0"/>
              <wp:lineTo x="0" y="18000"/>
              <wp:lineTo x="21474" y="18000"/>
              <wp:lineTo x="21474" y="0"/>
              <wp:lineTo x="0" y="0"/>
            </wp:wrapPolygon>
          </wp:wrapThrough>
          <wp:docPr id="606697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65241" name="Picture 2078365241"/>
                  <pic:cNvPicPr/>
                </pic:nvPicPr>
                <pic:blipFill>
                  <a:blip r:embed="rId1">
                    <a:extLst>
                      <a:ext uri="{28A0092B-C50C-407E-A947-70E740481C1C}">
                        <a14:useLocalDpi xmlns:a14="http://schemas.microsoft.com/office/drawing/2010/main" val="0"/>
                      </a:ext>
                    </a:extLst>
                  </a:blip>
                  <a:stretch>
                    <a:fillRect/>
                  </a:stretch>
                </pic:blipFill>
                <pic:spPr>
                  <a:xfrm>
                    <a:off x="0" y="0"/>
                    <a:ext cx="3602743" cy="137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7FFD" w14:textId="77777777" w:rsidR="00AE6B8C" w:rsidRDefault="00AE6B8C" w:rsidP="004D47F2">
      <w:r>
        <w:separator/>
      </w:r>
    </w:p>
  </w:footnote>
  <w:footnote w:type="continuationSeparator" w:id="0">
    <w:p w14:paraId="29BC2023" w14:textId="77777777" w:rsidR="00AE6B8C" w:rsidRDefault="00AE6B8C" w:rsidP="004D47F2">
      <w:r>
        <w:continuationSeparator/>
      </w:r>
    </w:p>
  </w:footnote>
  <w:footnote w:type="continuationNotice" w:id="1">
    <w:p w14:paraId="2735814C" w14:textId="77777777" w:rsidR="00AE6B8C" w:rsidRDefault="00AE6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F568" w14:textId="568682DC" w:rsidR="004D47F2" w:rsidRDefault="00957B86">
    <w:pPr>
      <w:pStyle w:val="Header"/>
    </w:pPr>
    <w:r>
      <w:rPr>
        <w:noProof/>
      </w:rPr>
      <w:drawing>
        <wp:anchor distT="0" distB="0" distL="114300" distR="114300" simplePos="0" relativeHeight="251659264" behindDoc="0" locked="0" layoutInCell="1" allowOverlap="1" wp14:anchorId="01571F2C" wp14:editId="6EEFD446">
          <wp:simplePos x="0" y="0"/>
          <wp:positionH relativeFrom="column">
            <wp:posOffset>7524750</wp:posOffset>
          </wp:positionH>
          <wp:positionV relativeFrom="paragraph">
            <wp:posOffset>-297180</wp:posOffset>
          </wp:positionV>
          <wp:extent cx="1333500" cy="1080135"/>
          <wp:effectExtent l="0" t="0" r="0" b="5715"/>
          <wp:wrapSquare wrapText="bothSides"/>
          <wp:docPr id="127286224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60672"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33500" cy="1080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256B2"/>
    <w:multiLevelType w:val="hybridMultilevel"/>
    <w:tmpl w:val="0AF6D3F0"/>
    <w:lvl w:ilvl="0" w:tplc="0A48E68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E18BA"/>
    <w:multiLevelType w:val="hybridMultilevel"/>
    <w:tmpl w:val="12E0917E"/>
    <w:lvl w:ilvl="0" w:tplc="9EAA7C2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266F1"/>
    <w:multiLevelType w:val="hybridMultilevel"/>
    <w:tmpl w:val="F5046024"/>
    <w:lvl w:ilvl="0" w:tplc="5FA818D0">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D30B7F"/>
    <w:multiLevelType w:val="hybridMultilevel"/>
    <w:tmpl w:val="5B70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BA1A62"/>
    <w:multiLevelType w:val="hybridMultilevel"/>
    <w:tmpl w:val="CCD2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42AAB"/>
    <w:multiLevelType w:val="hybridMultilevel"/>
    <w:tmpl w:val="22B83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EF55DE"/>
    <w:multiLevelType w:val="hybridMultilevel"/>
    <w:tmpl w:val="489C1AE0"/>
    <w:lvl w:ilvl="0" w:tplc="61D480B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91561"/>
    <w:multiLevelType w:val="multilevel"/>
    <w:tmpl w:val="A4FE2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F7C34"/>
    <w:multiLevelType w:val="hybridMultilevel"/>
    <w:tmpl w:val="3D0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57A14"/>
    <w:multiLevelType w:val="hybridMultilevel"/>
    <w:tmpl w:val="95B81A40"/>
    <w:lvl w:ilvl="0" w:tplc="A7448450">
      <w:start w:val="1"/>
      <w:numFmt w:val="bullet"/>
      <w:lvlText w:val=""/>
      <w:lvlJc w:val="left"/>
      <w:pPr>
        <w:ind w:left="720" w:hanging="360"/>
      </w:pPr>
      <w:rPr>
        <w:rFonts w:ascii="Symbol" w:hAnsi="Symbol" w:hint="default"/>
        <w:color w:val="0091C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AF4D9A"/>
    <w:multiLevelType w:val="multilevel"/>
    <w:tmpl w:val="8270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A3F7B"/>
    <w:multiLevelType w:val="hybridMultilevel"/>
    <w:tmpl w:val="875442D4"/>
    <w:lvl w:ilvl="0" w:tplc="5FA818D0">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0B1EED"/>
    <w:multiLevelType w:val="hybridMultilevel"/>
    <w:tmpl w:val="F960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168FB"/>
    <w:multiLevelType w:val="hybridMultilevel"/>
    <w:tmpl w:val="072C9D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F93476"/>
    <w:multiLevelType w:val="hybridMultilevel"/>
    <w:tmpl w:val="2472B28A"/>
    <w:lvl w:ilvl="0" w:tplc="08090001">
      <w:start w:val="1"/>
      <w:numFmt w:val="bullet"/>
      <w:lvlText w:val=""/>
      <w:lvlJc w:val="left"/>
      <w:pPr>
        <w:ind w:left="720" w:hanging="360"/>
      </w:pPr>
      <w:rPr>
        <w:rFonts w:ascii="Symbol" w:hAnsi="Symbol" w:hint="default"/>
      </w:rPr>
    </w:lvl>
    <w:lvl w:ilvl="1" w:tplc="F98ACF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72929"/>
    <w:multiLevelType w:val="hybridMultilevel"/>
    <w:tmpl w:val="A4F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D5C92"/>
    <w:multiLevelType w:val="hybridMultilevel"/>
    <w:tmpl w:val="536C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40364"/>
    <w:multiLevelType w:val="hybridMultilevel"/>
    <w:tmpl w:val="589CCB64"/>
    <w:lvl w:ilvl="0" w:tplc="5FA818D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07D23"/>
    <w:multiLevelType w:val="hybridMultilevel"/>
    <w:tmpl w:val="380E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54967"/>
    <w:multiLevelType w:val="hybridMultilevel"/>
    <w:tmpl w:val="7556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E71B9"/>
    <w:multiLevelType w:val="multilevel"/>
    <w:tmpl w:val="52367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234218"/>
    <w:multiLevelType w:val="hybridMultilevel"/>
    <w:tmpl w:val="0B146200"/>
    <w:lvl w:ilvl="0" w:tplc="0A48E68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31416"/>
    <w:multiLevelType w:val="hybridMultilevel"/>
    <w:tmpl w:val="675A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96996"/>
    <w:multiLevelType w:val="hybridMultilevel"/>
    <w:tmpl w:val="EBE0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4111E"/>
    <w:multiLevelType w:val="hybridMultilevel"/>
    <w:tmpl w:val="B6849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68149F"/>
    <w:multiLevelType w:val="multilevel"/>
    <w:tmpl w:val="9A72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6D0B80"/>
    <w:multiLevelType w:val="hybridMultilevel"/>
    <w:tmpl w:val="B44092DC"/>
    <w:lvl w:ilvl="0" w:tplc="3D94BC76">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919233">
    <w:abstractNumId w:val="0"/>
  </w:num>
  <w:num w:numId="2" w16cid:durableId="353113858">
    <w:abstractNumId w:val="28"/>
  </w:num>
  <w:num w:numId="3" w16cid:durableId="87042246">
    <w:abstractNumId w:val="21"/>
  </w:num>
  <w:num w:numId="4" w16cid:durableId="126628381">
    <w:abstractNumId w:val="5"/>
  </w:num>
  <w:num w:numId="5" w16cid:durableId="36009643">
    <w:abstractNumId w:val="30"/>
  </w:num>
  <w:num w:numId="6" w16cid:durableId="1817642392">
    <w:abstractNumId w:val="6"/>
  </w:num>
  <w:num w:numId="7" w16cid:durableId="1862815264">
    <w:abstractNumId w:val="11"/>
  </w:num>
  <w:num w:numId="8" w16cid:durableId="297344646">
    <w:abstractNumId w:val="2"/>
  </w:num>
  <w:num w:numId="9" w16cid:durableId="1791821350">
    <w:abstractNumId w:val="4"/>
  </w:num>
  <w:num w:numId="10" w16cid:durableId="1716079272">
    <w:abstractNumId w:val="31"/>
  </w:num>
  <w:num w:numId="11" w16cid:durableId="1919053078">
    <w:abstractNumId w:val="12"/>
  </w:num>
  <w:num w:numId="12" w16cid:durableId="1627157729">
    <w:abstractNumId w:val="7"/>
  </w:num>
  <w:num w:numId="13" w16cid:durableId="1241409854">
    <w:abstractNumId w:val="17"/>
  </w:num>
  <w:num w:numId="14" w16cid:durableId="835074552">
    <w:abstractNumId w:val="26"/>
  </w:num>
  <w:num w:numId="15" w16cid:durableId="1357150370">
    <w:abstractNumId w:val="15"/>
  </w:num>
  <w:num w:numId="16" w16cid:durableId="1618754979">
    <w:abstractNumId w:val="27"/>
  </w:num>
  <w:num w:numId="17" w16cid:durableId="472328941">
    <w:abstractNumId w:val="29"/>
  </w:num>
  <w:num w:numId="18" w16cid:durableId="631518605">
    <w:abstractNumId w:val="23"/>
  </w:num>
  <w:num w:numId="19" w16cid:durableId="460146774">
    <w:abstractNumId w:val="9"/>
  </w:num>
  <w:num w:numId="20" w16cid:durableId="1959950734">
    <w:abstractNumId w:val="25"/>
  </w:num>
  <w:num w:numId="21" w16cid:durableId="255595061">
    <w:abstractNumId w:val="1"/>
  </w:num>
  <w:num w:numId="22" w16cid:durableId="1369527945">
    <w:abstractNumId w:val="20"/>
  </w:num>
  <w:num w:numId="23" w16cid:durableId="1446460229">
    <w:abstractNumId w:val="3"/>
  </w:num>
  <w:num w:numId="24" w16cid:durableId="1325664174">
    <w:abstractNumId w:val="14"/>
  </w:num>
  <w:num w:numId="25" w16cid:durableId="121963709">
    <w:abstractNumId w:val="16"/>
  </w:num>
  <w:num w:numId="26" w16cid:durableId="414715198">
    <w:abstractNumId w:val="19"/>
  </w:num>
  <w:num w:numId="27" w16cid:durableId="31662550">
    <w:abstractNumId w:val="18"/>
  </w:num>
  <w:num w:numId="28" w16cid:durableId="1748528674">
    <w:abstractNumId w:val="22"/>
  </w:num>
  <w:num w:numId="29" w16cid:durableId="1702779597">
    <w:abstractNumId w:val="8"/>
  </w:num>
  <w:num w:numId="30" w16cid:durableId="184027289">
    <w:abstractNumId w:val="13"/>
  </w:num>
  <w:num w:numId="31" w16cid:durableId="216403582">
    <w:abstractNumId w:val="10"/>
  </w:num>
  <w:num w:numId="32" w16cid:durableId="15248977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3730"/>
    <w:rsid w:val="00005415"/>
    <w:rsid w:val="00006E02"/>
    <w:rsid w:val="000076A6"/>
    <w:rsid w:val="00007CEB"/>
    <w:rsid w:val="00010AC8"/>
    <w:rsid w:val="000239CA"/>
    <w:rsid w:val="0003703F"/>
    <w:rsid w:val="00050E6F"/>
    <w:rsid w:val="00056A06"/>
    <w:rsid w:val="00064981"/>
    <w:rsid w:val="00070FCA"/>
    <w:rsid w:val="000716E8"/>
    <w:rsid w:val="000772A8"/>
    <w:rsid w:val="0008464B"/>
    <w:rsid w:val="0008788B"/>
    <w:rsid w:val="00096E26"/>
    <w:rsid w:val="000A7C7D"/>
    <w:rsid w:val="000B397A"/>
    <w:rsid w:val="000B3C3A"/>
    <w:rsid w:val="000C0947"/>
    <w:rsid w:val="000C0FDF"/>
    <w:rsid w:val="000C190B"/>
    <w:rsid w:val="000C5222"/>
    <w:rsid w:val="000E0302"/>
    <w:rsid w:val="000E7DBA"/>
    <w:rsid w:val="00101BD1"/>
    <w:rsid w:val="001164F7"/>
    <w:rsid w:val="00116AAC"/>
    <w:rsid w:val="00122AEB"/>
    <w:rsid w:val="00126E87"/>
    <w:rsid w:val="001328DD"/>
    <w:rsid w:val="00132AE5"/>
    <w:rsid w:val="00144649"/>
    <w:rsid w:val="001476D6"/>
    <w:rsid w:val="00150BAE"/>
    <w:rsid w:val="00153486"/>
    <w:rsid w:val="00161527"/>
    <w:rsid w:val="001648AD"/>
    <w:rsid w:val="00165C0A"/>
    <w:rsid w:val="00173E8A"/>
    <w:rsid w:val="001837A8"/>
    <w:rsid w:val="00191AF0"/>
    <w:rsid w:val="00191F00"/>
    <w:rsid w:val="001D70E2"/>
    <w:rsid w:val="001F17B3"/>
    <w:rsid w:val="001F3672"/>
    <w:rsid w:val="001F6CCD"/>
    <w:rsid w:val="00203AE2"/>
    <w:rsid w:val="00206BB6"/>
    <w:rsid w:val="0022779A"/>
    <w:rsid w:val="0023317D"/>
    <w:rsid w:val="0023468E"/>
    <w:rsid w:val="00240FF3"/>
    <w:rsid w:val="002465D6"/>
    <w:rsid w:val="00246AC2"/>
    <w:rsid w:val="002532D7"/>
    <w:rsid w:val="0025779E"/>
    <w:rsid w:val="00274CC6"/>
    <w:rsid w:val="002752A9"/>
    <w:rsid w:val="002A0FD5"/>
    <w:rsid w:val="002A46C8"/>
    <w:rsid w:val="002A7CF8"/>
    <w:rsid w:val="002B2592"/>
    <w:rsid w:val="002C33FE"/>
    <w:rsid w:val="002D5DFF"/>
    <w:rsid w:val="002D628F"/>
    <w:rsid w:val="002F79F3"/>
    <w:rsid w:val="00311A3F"/>
    <w:rsid w:val="0031345D"/>
    <w:rsid w:val="00322B9D"/>
    <w:rsid w:val="0032398C"/>
    <w:rsid w:val="00345F44"/>
    <w:rsid w:val="00366CE7"/>
    <w:rsid w:val="003674E9"/>
    <w:rsid w:val="00370CE1"/>
    <w:rsid w:val="0037633E"/>
    <w:rsid w:val="00384A64"/>
    <w:rsid w:val="00395EEB"/>
    <w:rsid w:val="00396F45"/>
    <w:rsid w:val="003A322E"/>
    <w:rsid w:val="003A396B"/>
    <w:rsid w:val="003B1165"/>
    <w:rsid w:val="003B53DA"/>
    <w:rsid w:val="003C13B5"/>
    <w:rsid w:val="003C3412"/>
    <w:rsid w:val="003D202B"/>
    <w:rsid w:val="003D52AB"/>
    <w:rsid w:val="003E03D8"/>
    <w:rsid w:val="003E0681"/>
    <w:rsid w:val="003E2701"/>
    <w:rsid w:val="003E436A"/>
    <w:rsid w:val="003E463E"/>
    <w:rsid w:val="003F04F8"/>
    <w:rsid w:val="00403E16"/>
    <w:rsid w:val="00404221"/>
    <w:rsid w:val="0040484D"/>
    <w:rsid w:val="00412A35"/>
    <w:rsid w:val="00413147"/>
    <w:rsid w:val="004213CC"/>
    <w:rsid w:val="00445192"/>
    <w:rsid w:val="00450E61"/>
    <w:rsid w:val="00454031"/>
    <w:rsid w:val="00454CD2"/>
    <w:rsid w:val="00462EDE"/>
    <w:rsid w:val="00466DD8"/>
    <w:rsid w:val="004707C4"/>
    <w:rsid w:val="00490DE2"/>
    <w:rsid w:val="00491C58"/>
    <w:rsid w:val="004928A2"/>
    <w:rsid w:val="004A62C6"/>
    <w:rsid w:val="004B252F"/>
    <w:rsid w:val="004B5533"/>
    <w:rsid w:val="004B5A8F"/>
    <w:rsid w:val="004B5FCF"/>
    <w:rsid w:val="004D3BA2"/>
    <w:rsid w:val="004D47F2"/>
    <w:rsid w:val="004E4820"/>
    <w:rsid w:val="004F69FF"/>
    <w:rsid w:val="00501B32"/>
    <w:rsid w:val="00513133"/>
    <w:rsid w:val="00514BB3"/>
    <w:rsid w:val="005665CE"/>
    <w:rsid w:val="00567C0D"/>
    <w:rsid w:val="00567EF3"/>
    <w:rsid w:val="00580AE2"/>
    <w:rsid w:val="005939D3"/>
    <w:rsid w:val="005958AF"/>
    <w:rsid w:val="00597BEB"/>
    <w:rsid w:val="005A0F86"/>
    <w:rsid w:val="005B0870"/>
    <w:rsid w:val="005B2164"/>
    <w:rsid w:val="005B7462"/>
    <w:rsid w:val="005B7DB2"/>
    <w:rsid w:val="005C1E44"/>
    <w:rsid w:val="005D38B4"/>
    <w:rsid w:val="005E3203"/>
    <w:rsid w:val="005E5DEB"/>
    <w:rsid w:val="005E7F62"/>
    <w:rsid w:val="006029D6"/>
    <w:rsid w:val="00610A31"/>
    <w:rsid w:val="00623279"/>
    <w:rsid w:val="006268BE"/>
    <w:rsid w:val="00626FF6"/>
    <w:rsid w:val="00631C92"/>
    <w:rsid w:val="00633F6D"/>
    <w:rsid w:val="006406EE"/>
    <w:rsid w:val="00647F32"/>
    <w:rsid w:val="0066509F"/>
    <w:rsid w:val="006661F0"/>
    <w:rsid w:val="00666740"/>
    <w:rsid w:val="0067675B"/>
    <w:rsid w:val="00677282"/>
    <w:rsid w:val="00681884"/>
    <w:rsid w:val="00683AFD"/>
    <w:rsid w:val="00695FA3"/>
    <w:rsid w:val="006A74F6"/>
    <w:rsid w:val="006B0AD8"/>
    <w:rsid w:val="006C4732"/>
    <w:rsid w:val="006D4ED7"/>
    <w:rsid w:val="00710F87"/>
    <w:rsid w:val="007119BB"/>
    <w:rsid w:val="007133B5"/>
    <w:rsid w:val="00714683"/>
    <w:rsid w:val="00723443"/>
    <w:rsid w:val="00724128"/>
    <w:rsid w:val="007434B5"/>
    <w:rsid w:val="007553A2"/>
    <w:rsid w:val="00763E4C"/>
    <w:rsid w:val="0079374C"/>
    <w:rsid w:val="007B4030"/>
    <w:rsid w:val="007B7A64"/>
    <w:rsid w:val="007C04E1"/>
    <w:rsid w:val="007C66A1"/>
    <w:rsid w:val="007E003C"/>
    <w:rsid w:val="007F1875"/>
    <w:rsid w:val="0080582C"/>
    <w:rsid w:val="008103CB"/>
    <w:rsid w:val="0086215B"/>
    <w:rsid w:val="0087086D"/>
    <w:rsid w:val="008749D6"/>
    <w:rsid w:val="00875876"/>
    <w:rsid w:val="00877F2C"/>
    <w:rsid w:val="008B0237"/>
    <w:rsid w:val="008B099C"/>
    <w:rsid w:val="008D4ACF"/>
    <w:rsid w:val="008E1320"/>
    <w:rsid w:val="008F720D"/>
    <w:rsid w:val="00913349"/>
    <w:rsid w:val="0091519B"/>
    <w:rsid w:val="009166DB"/>
    <w:rsid w:val="009551F4"/>
    <w:rsid w:val="00957B86"/>
    <w:rsid w:val="009625C7"/>
    <w:rsid w:val="00964FA7"/>
    <w:rsid w:val="00966EE9"/>
    <w:rsid w:val="009724EA"/>
    <w:rsid w:val="009762D2"/>
    <w:rsid w:val="009837B4"/>
    <w:rsid w:val="00992803"/>
    <w:rsid w:val="00993410"/>
    <w:rsid w:val="009D369B"/>
    <w:rsid w:val="009D3E9F"/>
    <w:rsid w:val="009E1997"/>
    <w:rsid w:val="009F641C"/>
    <w:rsid w:val="00A07222"/>
    <w:rsid w:val="00A2614A"/>
    <w:rsid w:val="00A30091"/>
    <w:rsid w:val="00A35C6E"/>
    <w:rsid w:val="00A52F4C"/>
    <w:rsid w:val="00A627C4"/>
    <w:rsid w:val="00A637CE"/>
    <w:rsid w:val="00A73B1C"/>
    <w:rsid w:val="00A8047D"/>
    <w:rsid w:val="00A86591"/>
    <w:rsid w:val="00AB3382"/>
    <w:rsid w:val="00AB5098"/>
    <w:rsid w:val="00AD27B2"/>
    <w:rsid w:val="00AD7D5E"/>
    <w:rsid w:val="00AE0B8B"/>
    <w:rsid w:val="00AE2B51"/>
    <w:rsid w:val="00AE4F26"/>
    <w:rsid w:val="00AE60F4"/>
    <w:rsid w:val="00AE6B8C"/>
    <w:rsid w:val="00AE768A"/>
    <w:rsid w:val="00AF1861"/>
    <w:rsid w:val="00B10EE8"/>
    <w:rsid w:val="00B152C5"/>
    <w:rsid w:val="00B235A7"/>
    <w:rsid w:val="00B2767F"/>
    <w:rsid w:val="00B313EC"/>
    <w:rsid w:val="00B40437"/>
    <w:rsid w:val="00B443CA"/>
    <w:rsid w:val="00B51D14"/>
    <w:rsid w:val="00B73EAF"/>
    <w:rsid w:val="00B86456"/>
    <w:rsid w:val="00B97FB2"/>
    <w:rsid w:val="00BD2239"/>
    <w:rsid w:val="00BD23C5"/>
    <w:rsid w:val="00C0072B"/>
    <w:rsid w:val="00C05895"/>
    <w:rsid w:val="00C22698"/>
    <w:rsid w:val="00C357BF"/>
    <w:rsid w:val="00C421F2"/>
    <w:rsid w:val="00C42C44"/>
    <w:rsid w:val="00C46574"/>
    <w:rsid w:val="00C50E46"/>
    <w:rsid w:val="00C50FAE"/>
    <w:rsid w:val="00C607E5"/>
    <w:rsid w:val="00C63323"/>
    <w:rsid w:val="00C65107"/>
    <w:rsid w:val="00C731AC"/>
    <w:rsid w:val="00C77A49"/>
    <w:rsid w:val="00C824D0"/>
    <w:rsid w:val="00CB05E7"/>
    <w:rsid w:val="00CC14AD"/>
    <w:rsid w:val="00CE226B"/>
    <w:rsid w:val="00CE6200"/>
    <w:rsid w:val="00CF093A"/>
    <w:rsid w:val="00CF136C"/>
    <w:rsid w:val="00CF1420"/>
    <w:rsid w:val="00CF3BCC"/>
    <w:rsid w:val="00CF5A46"/>
    <w:rsid w:val="00D0494F"/>
    <w:rsid w:val="00D06ED9"/>
    <w:rsid w:val="00D12766"/>
    <w:rsid w:val="00D24979"/>
    <w:rsid w:val="00D40B51"/>
    <w:rsid w:val="00D46292"/>
    <w:rsid w:val="00D555D1"/>
    <w:rsid w:val="00D6121C"/>
    <w:rsid w:val="00D655F8"/>
    <w:rsid w:val="00D67B61"/>
    <w:rsid w:val="00D727D9"/>
    <w:rsid w:val="00D82871"/>
    <w:rsid w:val="00D93A0A"/>
    <w:rsid w:val="00DA459B"/>
    <w:rsid w:val="00DB0722"/>
    <w:rsid w:val="00DC7209"/>
    <w:rsid w:val="00DC7A0B"/>
    <w:rsid w:val="00DD2628"/>
    <w:rsid w:val="00DD4E54"/>
    <w:rsid w:val="00DF14AA"/>
    <w:rsid w:val="00E02292"/>
    <w:rsid w:val="00E16D60"/>
    <w:rsid w:val="00E222D3"/>
    <w:rsid w:val="00E23CBB"/>
    <w:rsid w:val="00E24A27"/>
    <w:rsid w:val="00E270D3"/>
    <w:rsid w:val="00E2753B"/>
    <w:rsid w:val="00E27EDE"/>
    <w:rsid w:val="00E500E6"/>
    <w:rsid w:val="00E60D2A"/>
    <w:rsid w:val="00E615C6"/>
    <w:rsid w:val="00E67A18"/>
    <w:rsid w:val="00E71D73"/>
    <w:rsid w:val="00E92FDA"/>
    <w:rsid w:val="00EA00AE"/>
    <w:rsid w:val="00EA1F41"/>
    <w:rsid w:val="00EA3B43"/>
    <w:rsid w:val="00EB2920"/>
    <w:rsid w:val="00EB3433"/>
    <w:rsid w:val="00EC0930"/>
    <w:rsid w:val="00ED1427"/>
    <w:rsid w:val="00EE418F"/>
    <w:rsid w:val="00EE5447"/>
    <w:rsid w:val="00EF53CB"/>
    <w:rsid w:val="00EF70D2"/>
    <w:rsid w:val="00F07E6B"/>
    <w:rsid w:val="00F150C7"/>
    <w:rsid w:val="00F26A30"/>
    <w:rsid w:val="00F27546"/>
    <w:rsid w:val="00F27FE8"/>
    <w:rsid w:val="00F30CC7"/>
    <w:rsid w:val="00F50D1C"/>
    <w:rsid w:val="00F5220B"/>
    <w:rsid w:val="00F57298"/>
    <w:rsid w:val="00F65D70"/>
    <w:rsid w:val="00F71909"/>
    <w:rsid w:val="00FA33A5"/>
    <w:rsid w:val="00FB0D30"/>
    <w:rsid w:val="00FE36BF"/>
    <w:rsid w:val="00FE6460"/>
    <w:rsid w:val="00FF1758"/>
    <w:rsid w:val="00FF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docId w15:val="{7CBB1C6B-A5E7-4411-BF42-DC69ECC8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F3"/>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DA459B"/>
    <w:pPr>
      <w:keepNext/>
      <w:keepLines/>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semiHidden/>
    <w:unhideWhenUsed/>
    <w:qFormat/>
    <w:rsid w:val="00191F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459B"/>
    <w:pPr>
      <w:outlineLvl w:val="2"/>
    </w:pPr>
    <w:rPr>
      <w:rFonts w:eastAsia="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4451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C14AD"/>
    <w:rPr>
      <w:sz w:val="16"/>
      <w:szCs w:val="16"/>
    </w:rPr>
  </w:style>
  <w:style w:type="paragraph" w:styleId="CommentText">
    <w:name w:val="annotation text"/>
    <w:basedOn w:val="Normal"/>
    <w:link w:val="CommentTextChar"/>
    <w:uiPriority w:val="99"/>
    <w:semiHidden/>
    <w:unhideWhenUsed/>
    <w:rsid w:val="00CC14AD"/>
    <w:rPr>
      <w:sz w:val="20"/>
      <w:szCs w:val="20"/>
    </w:rPr>
  </w:style>
  <w:style w:type="character" w:customStyle="1" w:styleId="CommentTextChar">
    <w:name w:val="Comment Text Char"/>
    <w:basedOn w:val="DefaultParagraphFont"/>
    <w:link w:val="CommentText"/>
    <w:uiPriority w:val="99"/>
    <w:semiHidden/>
    <w:rsid w:val="00CC14AD"/>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CC14AD"/>
    <w:rPr>
      <w:b/>
      <w:bCs/>
    </w:rPr>
  </w:style>
  <w:style w:type="character" w:customStyle="1" w:styleId="CommentSubjectChar">
    <w:name w:val="Comment Subject Char"/>
    <w:basedOn w:val="CommentTextChar"/>
    <w:link w:val="CommentSubject"/>
    <w:uiPriority w:val="99"/>
    <w:semiHidden/>
    <w:rsid w:val="00CC14AD"/>
    <w:rPr>
      <w:rFonts w:ascii="Arial" w:eastAsiaTheme="minorEastAsia" w:hAnsi="Arial"/>
      <w:b/>
      <w:bCs/>
      <w:sz w:val="20"/>
      <w:szCs w:val="20"/>
    </w:rPr>
  </w:style>
  <w:style w:type="paragraph" w:styleId="NoSpacing">
    <w:name w:val="No Spacing"/>
    <w:qFormat/>
    <w:rsid w:val="00E500E6"/>
    <w:pPr>
      <w:spacing w:after="0" w:line="240" w:lineRule="auto"/>
    </w:pPr>
    <w:rPr>
      <w:rFonts w:ascii="Verdana" w:eastAsia="Cambria" w:hAnsi="Verdana" w:cs="Times New Roman"/>
      <w:spacing w:val="2"/>
      <w:sz w:val="24"/>
      <w:szCs w:val="24"/>
    </w:rPr>
  </w:style>
  <w:style w:type="character" w:customStyle="1" w:styleId="Heading1Char">
    <w:name w:val="Heading 1 Char"/>
    <w:basedOn w:val="DefaultParagraphFont"/>
    <w:link w:val="Heading1"/>
    <w:uiPriority w:val="9"/>
    <w:rsid w:val="00DA459B"/>
    <w:rPr>
      <w:rFonts w:ascii="Arial" w:eastAsiaTheme="majorEastAsia" w:hAnsi="Arial" w:cs="Arial"/>
      <w:b/>
      <w:bCs/>
      <w:color w:val="A00054"/>
      <w:sz w:val="40"/>
      <w:szCs w:val="40"/>
    </w:rPr>
  </w:style>
  <w:style w:type="character" w:customStyle="1" w:styleId="Heading3Char">
    <w:name w:val="Heading 3 Char"/>
    <w:basedOn w:val="DefaultParagraphFont"/>
    <w:link w:val="Heading3"/>
    <w:uiPriority w:val="9"/>
    <w:semiHidden/>
    <w:rsid w:val="00DA459B"/>
    <w:rPr>
      <w:rFonts w:ascii="Arial" w:eastAsia="Times New Roman" w:hAnsi="Arial"/>
      <w:b/>
      <w:sz w:val="24"/>
    </w:rPr>
  </w:style>
  <w:style w:type="character" w:styleId="Hyperlink">
    <w:name w:val="Hyperlink"/>
    <w:basedOn w:val="DefaultParagraphFont"/>
    <w:uiPriority w:val="99"/>
    <w:unhideWhenUsed/>
    <w:rsid w:val="00DA459B"/>
    <w:rPr>
      <w:color w:val="0563C1" w:themeColor="hyperlink"/>
      <w:u w:val="single"/>
    </w:rPr>
  </w:style>
  <w:style w:type="character" w:customStyle="1" w:styleId="Heading2Char">
    <w:name w:val="Heading 2 Char"/>
    <w:basedOn w:val="DefaultParagraphFont"/>
    <w:link w:val="Heading2"/>
    <w:uiPriority w:val="9"/>
    <w:semiHidden/>
    <w:rsid w:val="00191F0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313EC"/>
    <w:rPr>
      <w:color w:val="605E5C"/>
      <w:shd w:val="clear" w:color="auto" w:fill="E1DFDD"/>
    </w:rPr>
  </w:style>
  <w:style w:type="paragraph" w:styleId="Revision">
    <w:name w:val="Revision"/>
    <w:hidden/>
    <w:uiPriority w:val="99"/>
    <w:semiHidden/>
    <w:rsid w:val="0066509F"/>
    <w:pPr>
      <w:spacing w:after="0" w:line="240" w:lineRule="auto"/>
    </w:pPr>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7626">
      <w:bodyDiv w:val="1"/>
      <w:marLeft w:val="0"/>
      <w:marRight w:val="0"/>
      <w:marTop w:val="0"/>
      <w:marBottom w:val="0"/>
      <w:divBdr>
        <w:top w:val="none" w:sz="0" w:space="0" w:color="auto"/>
        <w:left w:val="none" w:sz="0" w:space="0" w:color="auto"/>
        <w:bottom w:val="none" w:sz="0" w:space="0" w:color="auto"/>
        <w:right w:val="none" w:sz="0" w:space="0" w:color="auto"/>
      </w:divBdr>
    </w:div>
    <w:div w:id="142934493">
      <w:bodyDiv w:val="1"/>
      <w:marLeft w:val="0"/>
      <w:marRight w:val="0"/>
      <w:marTop w:val="0"/>
      <w:marBottom w:val="0"/>
      <w:divBdr>
        <w:top w:val="none" w:sz="0" w:space="0" w:color="auto"/>
        <w:left w:val="none" w:sz="0" w:space="0" w:color="auto"/>
        <w:bottom w:val="none" w:sz="0" w:space="0" w:color="auto"/>
        <w:right w:val="none" w:sz="0" w:space="0" w:color="auto"/>
      </w:divBdr>
    </w:div>
    <w:div w:id="165292479">
      <w:bodyDiv w:val="1"/>
      <w:marLeft w:val="0"/>
      <w:marRight w:val="0"/>
      <w:marTop w:val="0"/>
      <w:marBottom w:val="0"/>
      <w:divBdr>
        <w:top w:val="none" w:sz="0" w:space="0" w:color="auto"/>
        <w:left w:val="none" w:sz="0" w:space="0" w:color="auto"/>
        <w:bottom w:val="none" w:sz="0" w:space="0" w:color="auto"/>
        <w:right w:val="none" w:sz="0" w:space="0" w:color="auto"/>
      </w:divBdr>
    </w:div>
    <w:div w:id="229971452">
      <w:bodyDiv w:val="1"/>
      <w:marLeft w:val="0"/>
      <w:marRight w:val="0"/>
      <w:marTop w:val="0"/>
      <w:marBottom w:val="0"/>
      <w:divBdr>
        <w:top w:val="none" w:sz="0" w:space="0" w:color="auto"/>
        <w:left w:val="none" w:sz="0" w:space="0" w:color="auto"/>
        <w:bottom w:val="none" w:sz="0" w:space="0" w:color="auto"/>
        <w:right w:val="none" w:sz="0" w:space="0" w:color="auto"/>
      </w:divBdr>
    </w:div>
    <w:div w:id="244844260">
      <w:bodyDiv w:val="1"/>
      <w:marLeft w:val="0"/>
      <w:marRight w:val="0"/>
      <w:marTop w:val="0"/>
      <w:marBottom w:val="0"/>
      <w:divBdr>
        <w:top w:val="none" w:sz="0" w:space="0" w:color="auto"/>
        <w:left w:val="none" w:sz="0" w:space="0" w:color="auto"/>
        <w:bottom w:val="none" w:sz="0" w:space="0" w:color="auto"/>
        <w:right w:val="none" w:sz="0" w:space="0" w:color="auto"/>
      </w:divBdr>
    </w:div>
    <w:div w:id="357588980">
      <w:bodyDiv w:val="1"/>
      <w:marLeft w:val="0"/>
      <w:marRight w:val="0"/>
      <w:marTop w:val="0"/>
      <w:marBottom w:val="0"/>
      <w:divBdr>
        <w:top w:val="none" w:sz="0" w:space="0" w:color="auto"/>
        <w:left w:val="none" w:sz="0" w:space="0" w:color="auto"/>
        <w:bottom w:val="none" w:sz="0" w:space="0" w:color="auto"/>
        <w:right w:val="none" w:sz="0" w:space="0" w:color="auto"/>
      </w:divBdr>
    </w:div>
    <w:div w:id="429474264">
      <w:bodyDiv w:val="1"/>
      <w:marLeft w:val="0"/>
      <w:marRight w:val="0"/>
      <w:marTop w:val="0"/>
      <w:marBottom w:val="0"/>
      <w:divBdr>
        <w:top w:val="none" w:sz="0" w:space="0" w:color="auto"/>
        <w:left w:val="none" w:sz="0" w:space="0" w:color="auto"/>
        <w:bottom w:val="none" w:sz="0" w:space="0" w:color="auto"/>
        <w:right w:val="none" w:sz="0" w:space="0" w:color="auto"/>
      </w:divBdr>
    </w:div>
    <w:div w:id="668796874">
      <w:bodyDiv w:val="1"/>
      <w:marLeft w:val="0"/>
      <w:marRight w:val="0"/>
      <w:marTop w:val="0"/>
      <w:marBottom w:val="0"/>
      <w:divBdr>
        <w:top w:val="none" w:sz="0" w:space="0" w:color="auto"/>
        <w:left w:val="none" w:sz="0" w:space="0" w:color="auto"/>
        <w:bottom w:val="none" w:sz="0" w:space="0" w:color="auto"/>
        <w:right w:val="none" w:sz="0" w:space="0" w:color="auto"/>
      </w:divBdr>
    </w:div>
    <w:div w:id="819662815">
      <w:bodyDiv w:val="1"/>
      <w:marLeft w:val="0"/>
      <w:marRight w:val="0"/>
      <w:marTop w:val="0"/>
      <w:marBottom w:val="0"/>
      <w:divBdr>
        <w:top w:val="none" w:sz="0" w:space="0" w:color="auto"/>
        <w:left w:val="none" w:sz="0" w:space="0" w:color="auto"/>
        <w:bottom w:val="none" w:sz="0" w:space="0" w:color="auto"/>
        <w:right w:val="none" w:sz="0" w:space="0" w:color="auto"/>
      </w:divBdr>
    </w:div>
    <w:div w:id="868566048">
      <w:bodyDiv w:val="1"/>
      <w:marLeft w:val="0"/>
      <w:marRight w:val="0"/>
      <w:marTop w:val="0"/>
      <w:marBottom w:val="0"/>
      <w:divBdr>
        <w:top w:val="none" w:sz="0" w:space="0" w:color="auto"/>
        <w:left w:val="none" w:sz="0" w:space="0" w:color="auto"/>
        <w:bottom w:val="none" w:sz="0" w:space="0" w:color="auto"/>
        <w:right w:val="none" w:sz="0" w:space="0" w:color="auto"/>
      </w:divBdr>
    </w:div>
    <w:div w:id="877935990">
      <w:bodyDiv w:val="1"/>
      <w:marLeft w:val="0"/>
      <w:marRight w:val="0"/>
      <w:marTop w:val="0"/>
      <w:marBottom w:val="0"/>
      <w:divBdr>
        <w:top w:val="none" w:sz="0" w:space="0" w:color="auto"/>
        <w:left w:val="none" w:sz="0" w:space="0" w:color="auto"/>
        <w:bottom w:val="none" w:sz="0" w:space="0" w:color="auto"/>
        <w:right w:val="none" w:sz="0" w:space="0" w:color="auto"/>
      </w:divBdr>
    </w:div>
    <w:div w:id="1148589722">
      <w:bodyDiv w:val="1"/>
      <w:marLeft w:val="0"/>
      <w:marRight w:val="0"/>
      <w:marTop w:val="0"/>
      <w:marBottom w:val="0"/>
      <w:divBdr>
        <w:top w:val="none" w:sz="0" w:space="0" w:color="auto"/>
        <w:left w:val="none" w:sz="0" w:space="0" w:color="auto"/>
        <w:bottom w:val="none" w:sz="0" w:space="0" w:color="auto"/>
        <w:right w:val="none" w:sz="0" w:space="0" w:color="auto"/>
      </w:divBdr>
    </w:div>
    <w:div w:id="1220508362">
      <w:bodyDiv w:val="1"/>
      <w:marLeft w:val="0"/>
      <w:marRight w:val="0"/>
      <w:marTop w:val="0"/>
      <w:marBottom w:val="0"/>
      <w:divBdr>
        <w:top w:val="none" w:sz="0" w:space="0" w:color="auto"/>
        <w:left w:val="none" w:sz="0" w:space="0" w:color="auto"/>
        <w:bottom w:val="none" w:sz="0" w:space="0" w:color="auto"/>
        <w:right w:val="none" w:sz="0" w:space="0" w:color="auto"/>
      </w:divBdr>
    </w:div>
    <w:div w:id="1269311564">
      <w:bodyDiv w:val="1"/>
      <w:marLeft w:val="0"/>
      <w:marRight w:val="0"/>
      <w:marTop w:val="0"/>
      <w:marBottom w:val="0"/>
      <w:divBdr>
        <w:top w:val="none" w:sz="0" w:space="0" w:color="auto"/>
        <w:left w:val="none" w:sz="0" w:space="0" w:color="auto"/>
        <w:bottom w:val="none" w:sz="0" w:space="0" w:color="auto"/>
        <w:right w:val="none" w:sz="0" w:space="0" w:color="auto"/>
      </w:divBdr>
    </w:div>
    <w:div w:id="1381637140">
      <w:bodyDiv w:val="1"/>
      <w:marLeft w:val="0"/>
      <w:marRight w:val="0"/>
      <w:marTop w:val="0"/>
      <w:marBottom w:val="0"/>
      <w:divBdr>
        <w:top w:val="none" w:sz="0" w:space="0" w:color="auto"/>
        <w:left w:val="none" w:sz="0" w:space="0" w:color="auto"/>
        <w:bottom w:val="none" w:sz="0" w:space="0" w:color="auto"/>
        <w:right w:val="none" w:sz="0" w:space="0" w:color="auto"/>
      </w:divBdr>
    </w:div>
    <w:div w:id="1480031262">
      <w:bodyDiv w:val="1"/>
      <w:marLeft w:val="0"/>
      <w:marRight w:val="0"/>
      <w:marTop w:val="0"/>
      <w:marBottom w:val="0"/>
      <w:divBdr>
        <w:top w:val="none" w:sz="0" w:space="0" w:color="auto"/>
        <w:left w:val="none" w:sz="0" w:space="0" w:color="auto"/>
        <w:bottom w:val="none" w:sz="0" w:space="0" w:color="auto"/>
        <w:right w:val="none" w:sz="0" w:space="0" w:color="auto"/>
      </w:divBdr>
    </w:div>
    <w:div w:id="1487164260">
      <w:bodyDiv w:val="1"/>
      <w:marLeft w:val="0"/>
      <w:marRight w:val="0"/>
      <w:marTop w:val="0"/>
      <w:marBottom w:val="0"/>
      <w:divBdr>
        <w:top w:val="none" w:sz="0" w:space="0" w:color="auto"/>
        <w:left w:val="none" w:sz="0" w:space="0" w:color="auto"/>
        <w:bottom w:val="none" w:sz="0" w:space="0" w:color="auto"/>
        <w:right w:val="none" w:sz="0" w:space="0" w:color="auto"/>
      </w:divBdr>
    </w:div>
    <w:div w:id="1491362247">
      <w:bodyDiv w:val="1"/>
      <w:marLeft w:val="0"/>
      <w:marRight w:val="0"/>
      <w:marTop w:val="0"/>
      <w:marBottom w:val="0"/>
      <w:divBdr>
        <w:top w:val="none" w:sz="0" w:space="0" w:color="auto"/>
        <w:left w:val="none" w:sz="0" w:space="0" w:color="auto"/>
        <w:bottom w:val="none" w:sz="0" w:space="0" w:color="auto"/>
        <w:right w:val="none" w:sz="0" w:space="0" w:color="auto"/>
      </w:divBdr>
    </w:div>
    <w:div w:id="1563059746">
      <w:bodyDiv w:val="1"/>
      <w:marLeft w:val="0"/>
      <w:marRight w:val="0"/>
      <w:marTop w:val="0"/>
      <w:marBottom w:val="0"/>
      <w:divBdr>
        <w:top w:val="none" w:sz="0" w:space="0" w:color="auto"/>
        <w:left w:val="none" w:sz="0" w:space="0" w:color="auto"/>
        <w:bottom w:val="none" w:sz="0" w:space="0" w:color="auto"/>
        <w:right w:val="none" w:sz="0" w:space="0" w:color="auto"/>
      </w:divBdr>
    </w:div>
    <w:div w:id="20605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Props1.xml><?xml version="1.0" encoding="utf-8"?>
<ds:datastoreItem xmlns:ds="http://schemas.openxmlformats.org/officeDocument/2006/customXml" ds:itemID="{757CDD22-0AF5-49F5-858C-90DE7BBAA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D346E-24B1-4D44-884D-35EEC99456F3}">
  <ds:schemaRefs>
    <ds:schemaRef ds:uri="http://schemas.microsoft.com/sharepoint/v3/contenttype/forms"/>
  </ds:schemaRefs>
</ds:datastoreItem>
</file>

<file path=customXml/itemProps3.xml><?xml version="1.0" encoding="utf-8"?>
<ds:datastoreItem xmlns:ds="http://schemas.openxmlformats.org/officeDocument/2006/customXml" ds:itemID="{CE19DEF4-4CA1-4148-9931-B62A89AAAD10}">
  <ds:schemaRefs>
    <ds:schemaRef ds:uri="http://schemas.openxmlformats.org/officeDocument/2006/bibliography"/>
  </ds:schemaRefs>
</ds:datastoreItem>
</file>

<file path=customXml/itemProps4.xml><?xml version="1.0" encoding="utf-8"?>
<ds:datastoreItem xmlns:ds="http://schemas.openxmlformats.org/officeDocument/2006/customXml" ds:itemID="{74FACA53-5FF0-483C-AC37-D739FFF05B8B}">
  <ds:schemaRefs>
    <ds:schemaRef ds:uri="http://schemas.microsoft.com/office/2006/metadata/properties"/>
    <ds:schemaRef ds:uri="03c90cbb-051c-40b7-9629-06d6b896820c"/>
    <ds:schemaRef ds:uri="http://schemas.microsoft.com/office/infopath/2007/PartnerControls"/>
    <ds:schemaRef ds:uri="6d6509e6-4d7e-486f-b328-5b88be5fb760"/>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778</Words>
  <Characters>4436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WINCHESTER, Becca (NHS ENGLAND)</cp:lastModifiedBy>
  <cp:revision>3</cp:revision>
  <cp:lastPrinted>2021-06-30T13:43:00Z</cp:lastPrinted>
  <dcterms:created xsi:type="dcterms:W3CDTF">2025-07-03T19:40:00Z</dcterms:created>
  <dcterms:modified xsi:type="dcterms:W3CDTF">2025-07-03T19:59:00Z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y fmtid="{D5CDD505-2E9C-101B-9397-08002B2CF9AE}" pid="4" name="_ExtendedDescription">
    <vt:lpwstr/>
  </property>
</Properties>
</file>