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9297DD" w14:textId="1D402611" w:rsidR="00D43F41" w:rsidRPr="00845DBD" w:rsidRDefault="00111DD7" w:rsidP="00111DD7">
      <w:pPr>
        <w:spacing w:line="0" w:lineRule="atLeast"/>
        <w:rPr>
          <w:rFonts w:ascii="Arial" w:eastAsia="Arial" w:hAnsi="Arial"/>
          <w:b/>
          <w:bCs/>
          <w:color w:val="005EB8"/>
          <w:sz w:val="36"/>
          <w:szCs w:val="8"/>
        </w:rPr>
      </w:pPr>
      <w:r w:rsidRPr="00845DBD">
        <w:rPr>
          <w:rFonts w:ascii="Arial" w:eastAsia="Arial" w:hAnsi="Arial"/>
          <w:b/>
          <w:bCs/>
          <w:color w:val="005EB8"/>
          <w:sz w:val="56"/>
          <w:szCs w:val="18"/>
        </w:rPr>
        <w:t>Stakeholder Report Form</w:t>
      </w:r>
      <w:r w:rsidRPr="00845DBD">
        <w:rPr>
          <w:rFonts w:ascii="Arial" w:eastAsia="Arial" w:hAnsi="Arial"/>
          <w:b/>
          <w:bCs/>
          <w:color w:val="005EB8"/>
          <w:sz w:val="64"/>
        </w:rPr>
        <w:br/>
      </w:r>
      <w:r w:rsidRPr="00845DBD">
        <w:rPr>
          <w:rFonts w:ascii="Arial" w:eastAsia="Arial" w:hAnsi="Arial"/>
          <w:b/>
          <w:bCs/>
          <w:color w:val="005EB8"/>
          <w:sz w:val="32"/>
          <w:szCs w:val="6"/>
        </w:rPr>
        <w:t>EoE Primary Care School Board Meeting</w:t>
      </w:r>
    </w:p>
    <w:p w14:paraId="0ED8B7C7" w14:textId="77777777" w:rsidR="00111DD7" w:rsidRPr="00111DD7" w:rsidRDefault="00111DD7" w:rsidP="00111DD7">
      <w:pPr>
        <w:spacing w:line="0" w:lineRule="atLeast"/>
        <w:rPr>
          <w:rFonts w:ascii="Arial" w:eastAsia="Arial" w:hAnsi="Arial"/>
          <w:color w:val="005EB8"/>
          <w:sz w:val="32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5760"/>
        <w:gridCol w:w="1556"/>
        <w:gridCol w:w="4518"/>
      </w:tblGrid>
      <w:tr w:rsidR="002430F2" w:rsidRPr="00356AB2" w14:paraId="28D8E20B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2B0F1381" w14:textId="67423524" w:rsidR="002430F2" w:rsidRPr="00356AB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Name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6BDA1808" w14:textId="7A295EDB" w:rsidR="002430F2" w:rsidRPr="00356AB2" w:rsidRDefault="00961289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Expansion of Placement Capacity</w:t>
            </w:r>
          </w:p>
        </w:tc>
      </w:tr>
      <w:tr w:rsidR="002430F2" w:rsidRPr="00356AB2" w14:paraId="1F2E2C2E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4CD45AD4" w14:textId="4F504FE0" w:rsidR="002430F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Lead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403A7F30" w14:textId="10C35DDA" w:rsidR="002430F2" w:rsidRPr="00356AB2" w:rsidRDefault="00961289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Ayesha Tu Zahra</w:t>
            </w:r>
          </w:p>
        </w:tc>
      </w:tr>
      <w:tr w:rsidR="00C45AAD" w:rsidRPr="00356AB2" w14:paraId="3A31C5DD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313C67BF" w14:textId="5ECAC77F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PCS School Strategy Objective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sdt>
          <w:sdtPr>
            <w:rPr>
              <w:rFonts w:ascii="Arial" w:hAnsi="Arial"/>
              <w:sz w:val="22"/>
              <w:szCs w:val="22"/>
              <w:lang w:eastAsia="en-US"/>
            </w:rPr>
            <w:alias w:val="School Objectives"/>
            <w:tag w:val="School Objectives"/>
            <w:id w:val="-1737612704"/>
            <w:placeholder>
              <w:docPart w:val="ADFF6CABBD114274B8602956EC63A521"/>
            </w:placeholder>
            <w:dropDownList>
              <w:listItem w:value="Choose an item."/>
              <w:listItem w:displayText="Placement Cpacity" w:value="Placement Cpacity"/>
              <w:listItem w:displayText="Learner Support" w:value="Learner Support"/>
              <w:listItem w:displayText="Educator Support" w:value="Educator Support"/>
              <w:listItem w:displayText="System Involvement" w:value="System Involvement"/>
              <w:listItem w:displayText="Quality Assurance" w:value="Quality Assurance"/>
              <w:listItem w:displayText="Retention" w:value="Retention"/>
              <w:listItem w:displayText="Communication" w:value="Communication"/>
            </w:dropDownList>
          </w:sdtPr>
          <w:sdtEndPr/>
          <w:sdtContent>
            <w:tc>
              <w:tcPr>
                <w:tcW w:w="11834" w:type="dxa"/>
                <w:gridSpan w:val="3"/>
                <w:shd w:val="clear" w:color="auto" w:fill="auto"/>
                <w:vAlign w:val="center"/>
              </w:tcPr>
              <w:p w14:paraId="69DC0ED4" w14:textId="7E1BA93B" w:rsidR="00C45AAD" w:rsidRPr="00356AB2" w:rsidRDefault="00961289" w:rsidP="00C45AAD">
                <w:pPr>
                  <w:rPr>
                    <w:rFonts w:ascii="Arial" w:hAnsi="Arial"/>
                    <w:sz w:val="22"/>
                    <w:szCs w:val="22"/>
                    <w:lang w:eastAsia="en-US"/>
                  </w:rPr>
                </w:pPr>
                <w:r>
                  <w:rPr>
                    <w:rFonts w:ascii="Arial" w:hAnsi="Arial"/>
                    <w:sz w:val="22"/>
                    <w:szCs w:val="22"/>
                    <w:lang w:eastAsia="en-US"/>
                  </w:rPr>
                  <w:t>Placement Cpacity</w:t>
                </w:r>
              </w:p>
            </w:tc>
          </w:sdtContent>
        </w:sdt>
      </w:tr>
      <w:tr w:rsidR="00C45AAD" w:rsidRPr="00356AB2" w14:paraId="38CA3CFC" w14:textId="77777777" w:rsidTr="00E2446F">
        <w:trPr>
          <w:trHeight w:val="602"/>
          <w:tblHeader/>
        </w:trPr>
        <w:tc>
          <w:tcPr>
            <w:tcW w:w="1836" w:type="dxa"/>
            <w:shd w:val="clear" w:color="auto" w:fill="D9E2F3"/>
            <w:vAlign w:val="center"/>
          </w:tcPr>
          <w:p w14:paraId="236492A5" w14:textId="48CB0E51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Period of Update: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45A84D4" w14:textId="3D6ED2CB" w:rsidR="00C45AAD" w:rsidRPr="00356AB2" w:rsidRDefault="00961289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April </w:t>
            </w:r>
            <w:r w:rsidR="0022273A">
              <w:rPr>
                <w:rFonts w:ascii="Arial" w:hAnsi="Arial"/>
                <w:sz w:val="22"/>
                <w:szCs w:val="22"/>
                <w:lang w:eastAsia="en-US"/>
              </w:rPr>
              <w:t>- October</w:t>
            </w:r>
          </w:p>
        </w:tc>
        <w:tc>
          <w:tcPr>
            <w:tcW w:w="1556" w:type="dxa"/>
            <w:shd w:val="clear" w:color="auto" w:fill="D9E2F3"/>
            <w:vAlign w:val="center"/>
          </w:tcPr>
          <w:p w14:paraId="7FA69E64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RAG Status for project:</w:t>
            </w:r>
          </w:p>
        </w:tc>
        <w:tc>
          <w:tcPr>
            <w:tcW w:w="4518" w:type="dxa"/>
            <w:shd w:val="clear" w:color="auto" w:fill="ED7D31" w:themeFill="accent2"/>
            <w:vAlign w:val="center"/>
          </w:tcPr>
          <w:p w14:paraId="36175951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7C8FD57" w14:textId="77777777" w:rsidTr="00943B87">
        <w:trPr>
          <w:trHeight w:val="413"/>
        </w:trPr>
        <w:tc>
          <w:tcPr>
            <w:tcW w:w="13670" w:type="dxa"/>
            <w:gridSpan w:val="4"/>
            <w:shd w:val="clear" w:color="auto" w:fill="D9E2F3"/>
            <w:vAlign w:val="center"/>
          </w:tcPr>
          <w:p w14:paraId="2A09DF51" w14:textId="5FCE4A17" w:rsidR="00C45AAD" w:rsidRP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Summary</w:t>
            </w:r>
          </w:p>
        </w:tc>
      </w:tr>
      <w:tr w:rsidR="00C45AAD" w:rsidRPr="00356AB2" w14:paraId="4C3D5104" w14:textId="77777777" w:rsidTr="00C45AAD">
        <w:trPr>
          <w:trHeight w:val="413"/>
        </w:trPr>
        <w:tc>
          <w:tcPr>
            <w:tcW w:w="13670" w:type="dxa"/>
            <w:gridSpan w:val="4"/>
            <w:shd w:val="clear" w:color="auto" w:fill="FFFFFF" w:themeFill="background1"/>
            <w:vAlign w:val="center"/>
          </w:tcPr>
          <w:p w14:paraId="24D87C40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DB2802F" w14:textId="3E518684" w:rsidR="00C45AAD" w:rsidRDefault="000316C1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0316C1">
              <w:rPr>
                <w:rFonts w:ascii="Arial" w:hAnsi="Arial"/>
                <w:sz w:val="22"/>
                <w:szCs w:val="22"/>
                <w:lang w:eastAsia="en-US"/>
              </w:rPr>
              <w:t>The NHS Long Term Workforce Plan (LTWP) aims to increase the number of GP training places by 50% to 6,000 by 2031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nationally. </w:t>
            </w:r>
          </w:p>
          <w:p w14:paraId="0CDD0E3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9AAE5C4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4BB7856B" w14:textId="77777777" w:rsidTr="00F6215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4370714E" w14:textId="42BA0C6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Key Highlights</w:t>
            </w:r>
          </w:p>
        </w:tc>
      </w:tr>
      <w:tr w:rsidR="00C45AAD" w:rsidRPr="00356AB2" w14:paraId="0FC3A6E4" w14:textId="77777777" w:rsidTr="0082068F">
        <w:trPr>
          <w:trHeight w:val="1071"/>
        </w:trPr>
        <w:tc>
          <w:tcPr>
            <w:tcW w:w="13670" w:type="dxa"/>
            <w:gridSpan w:val="4"/>
            <w:shd w:val="clear" w:color="auto" w:fill="FFFFFF" w:themeFill="background1"/>
          </w:tcPr>
          <w:p w14:paraId="1B138B76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D927409" w14:textId="3DE7B09A" w:rsidR="00C45AAD" w:rsidRDefault="00212A51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Many programmes have successfully implemented additional training</w:t>
            </w:r>
            <w:r w:rsidR="00854ADE">
              <w:rPr>
                <w:rFonts w:ascii="Arial" w:hAnsi="Arial"/>
                <w:sz w:val="22"/>
                <w:szCs w:val="22"/>
                <w:lang w:eastAsia="en-US"/>
              </w:rPr>
              <w:t xml:space="preserve"> p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osts to manage the move to </w:t>
            </w:r>
            <w:r w:rsidR="00854ADE">
              <w:rPr>
                <w:rFonts w:ascii="Arial" w:hAnsi="Arial"/>
                <w:sz w:val="22"/>
                <w:szCs w:val="22"/>
                <w:lang w:eastAsia="en-US"/>
              </w:rPr>
              <w:t xml:space="preserve">24:12 programme construct. </w:t>
            </w:r>
          </w:p>
          <w:p w14:paraId="1572002C" w14:textId="24D57D36" w:rsidR="00845DBD" w:rsidRDefault="00854ADE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We have implemented a Blended Learning Pilot in Norfolk</w:t>
            </w:r>
            <w:r w:rsidR="008F35CF">
              <w:rPr>
                <w:rFonts w:ascii="Arial" w:hAnsi="Arial"/>
                <w:sz w:val="22"/>
                <w:szCs w:val="22"/>
                <w:lang w:eastAsia="en-US"/>
              </w:rPr>
              <w:t xml:space="preserve">, a national programme led by Dom Patterson, with good feedback so far. </w:t>
            </w:r>
          </w:p>
          <w:p w14:paraId="661FA1C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D534D27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18D5830" w14:textId="77777777" w:rsidTr="002430F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1A5F3552" w14:textId="2B4DA7D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Decisions made since last update </w:t>
            </w:r>
          </w:p>
        </w:tc>
      </w:tr>
      <w:tr w:rsidR="00C45AAD" w:rsidRPr="00356AB2" w14:paraId="67B311A3" w14:textId="77777777" w:rsidTr="004627A6">
        <w:tc>
          <w:tcPr>
            <w:tcW w:w="13670" w:type="dxa"/>
            <w:gridSpan w:val="4"/>
            <w:shd w:val="clear" w:color="auto" w:fill="auto"/>
          </w:tcPr>
          <w:p w14:paraId="67F9701E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74F176C" w14:textId="4E40C635" w:rsidR="00C45AAD" w:rsidRPr="00356AB2" w:rsidRDefault="00957FD5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Options paper for 2025 expansion taken to SLT</w:t>
            </w:r>
            <w:r w:rsidR="009615C7">
              <w:rPr>
                <w:rFonts w:ascii="Arial" w:hAnsi="Arial"/>
                <w:sz w:val="22"/>
                <w:szCs w:val="22"/>
                <w:lang w:eastAsia="en-US"/>
              </w:rPr>
              <w:t xml:space="preserve"> in Feb 2024. </w:t>
            </w:r>
          </w:p>
          <w:p w14:paraId="604272FC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85D3846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280D8B5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5A3605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29F3ABAA" w14:textId="77777777" w:rsidTr="00F62152">
        <w:trPr>
          <w:trHeight w:val="35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5BB890FA" w14:textId="6DDE8863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KPIs</w:t>
            </w:r>
          </w:p>
        </w:tc>
        <w:tc>
          <w:tcPr>
            <w:tcW w:w="6074" w:type="dxa"/>
            <w:gridSpan w:val="2"/>
            <w:shd w:val="clear" w:color="auto" w:fill="D9E2F3"/>
            <w:vAlign w:val="center"/>
          </w:tcPr>
          <w:p w14:paraId="529E9CD6" w14:textId="336F369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Financial Performance</w:t>
            </w:r>
          </w:p>
        </w:tc>
      </w:tr>
      <w:tr w:rsidR="00C45AAD" w:rsidRPr="00356AB2" w14:paraId="3650DFD7" w14:textId="77777777" w:rsidTr="007E4A21">
        <w:trPr>
          <w:trHeight w:val="2617"/>
        </w:trPr>
        <w:tc>
          <w:tcPr>
            <w:tcW w:w="7596" w:type="dxa"/>
            <w:gridSpan w:val="2"/>
            <w:shd w:val="clear" w:color="auto" w:fill="auto"/>
          </w:tcPr>
          <w:p w14:paraId="1EF00D3A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7EEBD3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6CFD53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BE1A22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382BAC3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376145C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4005A18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02A57D1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47305FE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DB3BF40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C18FF6F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A90F1A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40D5E25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2"/>
            <w:shd w:val="clear" w:color="auto" w:fill="auto"/>
          </w:tcPr>
          <w:p w14:paraId="0FE16C90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60E8FDA" w14:textId="45898E38" w:rsidR="00C45AAD" w:rsidRDefault="00E2446F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N/A – No financial support at current stage. </w:t>
            </w:r>
          </w:p>
          <w:p w14:paraId="329B9F05" w14:textId="50662051" w:rsidR="00C45AAD" w:rsidRPr="00356AB2" w:rsidRDefault="0082068F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Funding additional 1.5 </w:t>
            </w:r>
            <w:r w:rsidR="001A7F9D">
              <w:rPr>
                <w:rFonts w:ascii="Arial" w:hAnsi="Arial"/>
                <w:sz w:val="22"/>
                <w:szCs w:val="22"/>
                <w:lang w:eastAsia="en-US"/>
              </w:rPr>
              <w:t>TPD sessions p/w to support blended learning pilot creating cost pressure</w:t>
            </w:r>
          </w:p>
          <w:p w14:paraId="47AD756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DF2542D" w14:textId="77777777" w:rsidR="007E4A21" w:rsidRPr="007E4A21" w:rsidRDefault="007E4A21" w:rsidP="007E4A21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240A125" w14:textId="77777777" w:rsidR="007E4A21" w:rsidRPr="007E4A21" w:rsidRDefault="007E4A21" w:rsidP="007E4A21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2D91E70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2F18757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16C00C8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C8F7BDD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CDD4A5E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1277BFB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D70FF21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C50F443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32127B3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C9A45E6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7C7FE67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AE5327B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73062F4" w14:textId="77777777" w:rsidR="007E4A21" w:rsidRP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138D5DA9" w14:textId="77777777" w:rsidTr="00F62152">
        <w:trPr>
          <w:trHeight w:val="299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744D5CA3" w14:textId="32449F8E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Operational Updates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E7BEBE" w14:textId="5901A87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Progress on previous goals</w:t>
            </w:r>
          </w:p>
        </w:tc>
      </w:tr>
      <w:tr w:rsidR="00C45AAD" w:rsidRPr="00356AB2" w14:paraId="79FB4186" w14:textId="77777777" w:rsidTr="00E24E50">
        <w:trPr>
          <w:trHeight w:val="1964"/>
        </w:trPr>
        <w:tc>
          <w:tcPr>
            <w:tcW w:w="7596" w:type="dxa"/>
            <w:gridSpan w:val="2"/>
            <w:shd w:val="clear" w:color="auto" w:fill="auto"/>
          </w:tcPr>
          <w:p w14:paraId="1E6B84FF" w14:textId="77777777" w:rsidR="00707708" w:rsidRDefault="00707708" w:rsidP="00707708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With the move to 24:12 and the 2021 recruitment intake increase, programmes continue to struggle with placement capacity in both GP and hospital.</w:t>
            </w:r>
          </w:p>
          <w:p w14:paraId="1DD9FEC9" w14:textId="228DF3D1" w:rsidR="00707708" w:rsidRDefault="00707708" w:rsidP="00707708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To overcome this, some programmes have remained on an 18:18 programme construct</w:t>
            </w:r>
            <w:r w:rsidR="00E37C63">
              <w:rPr>
                <w:rFonts w:ascii="Arial" w:hAnsi="Arial"/>
                <w:sz w:val="22"/>
                <w:szCs w:val="22"/>
                <w:lang w:eastAsia="en-US"/>
              </w:rPr>
              <w:t xml:space="preserve"> with a view to </w:t>
            </w:r>
            <w:r w:rsidR="0045426E">
              <w:rPr>
                <w:rFonts w:ascii="Arial" w:hAnsi="Arial"/>
                <w:sz w:val="22"/>
                <w:szCs w:val="22"/>
                <w:lang w:eastAsia="en-US"/>
              </w:rPr>
              <w:t xml:space="preserve">moving to 24:12 in August 2024 and beyond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and other</w:t>
            </w:r>
            <w:r w:rsidR="0045426E">
              <w:rPr>
                <w:rFonts w:ascii="Arial" w:hAnsi="Arial"/>
                <w:sz w:val="22"/>
                <w:szCs w:val="22"/>
                <w:lang w:eastAsia="en-US"/>
              </w:rPr>
              <w:t xml:space="preserve"> programmes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are utilising ITP posts more. </w:t>
            </w:r>
          </w:p>
          <w:p w14:paraId="61403F9D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4FB6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A5FE59D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BF89279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A180F0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804C4E0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A01969A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22DB6BE9" w14:textId="77777777" w:rsidTr="00F62152">
        <w:trPr>
          <w:trHeight w:val="41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370D98A2" w14:textId="66F7F55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Risk Assessment Overview: </w:t>
            </w:r>
            <w:r w:rsidRPr="0057299A">
              <w:rPr>
                <w:rFonts w:ascii="Arial" w:hAnsi="Arial"/>
                <w:i/>
                <w:iCs/>
                <w:sz w:val="22"/>
                <w:szCs w:val="22"/>
                <w:lang w:eastAsia="en-US"/>
              </w:rPr>
              <w:t>(Issues, Risks, Concerns, Barriers etc)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54882" w14:textId="6E2800BD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Governance and Compliance</w:t>
            </w:r>
          </w:p>
        </w:tc>
      </w:tr>
      <w:tr w:rsidR="00C45AAD" w:rsidRPr="00356AB2" w14:paraId="5102D4D1" w14:textId="77777777" w:rsidTr="00C45AAD">
        <w:trPr>
          <w:trHeight w:val="2116"/>
        </w:trPr>
        <w:tc>
          <w:tcPr>
            <w:tcW w:w="7596" w:type="dxa"/>
            <w:gridSpan w:val="2"/>
            <w:shd w:val="clear" w:color="auto" w:fill="auto"/>
          </w:tcPr>
          <w:p w14:paraId="78B76997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7368D2A" w14:textId="73705C1A" w:rsidR="00C45AAD" w:rsidRDefault="001A7F9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Estates</w:t>
            </w:r>
          </w:p>
          <w:p w14:paraId="6B0AC1FF" w14:textId="152BFB72" w:rsidR="00C45AAD" w:rsidRDefault="007E4A21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2025 and beyond expansion</w:t>
            </w:r>
          </w:p>
          <w:p w14:paraId="65A019CA" w14:textId="1C6EB2E5" w:rsidR="00F63151" w:rsidRDefault="00F63151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Morale </w:t>
            </w:r>
          </w:p>
          <w:p w14:paraId="53E0FCDB" w14:textId="6DB05EDB" w:rsidR="00F63151" w:rsidRDefault="00F63151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Resource including PSW / Support services. </w:t>
            </w:r>
          </w:p>
          <w:p w14:paraId="56C78476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C87B" w14:textId="77777777" w:rsidR="00845DBD" w:rsidRDefault="00845DBD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1C03038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952B568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83C642D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459AF97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D53F0DF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5F83A38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C366C1E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9D5012A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A90D330" w14:textId="77777777" w:rsidR="007E4A21" w:rsidRPr="00845DBD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3B739C9D" w14:textId="77777777" w:rsidTr="00A72A93">
        <w:trPr>
          <w:trHeight w:val="282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956A137" w14:textId="2636F8A0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Stakeholder engagement</w:t>
            </w:r>
          </w:p>
        </w:tc>
      </w:tr>
      <w:tr w:rsidR="00C45AAD" w:rsidRPr="00356AB2" w14:paraId="2BBBC0BC" w14:textId="77777777" w:rsidTr="00897FDC">
        <w:trPr>
          <w:trHeight w:val="1836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BC746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80BE777" w14:textId="0CA3D03E" w:rsidR="000D24D8" w:rsidRPr="00356AB2" w:rsidRDefault="0045426E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Training hubs working closely with local programmes, practices and PCNs to increase number of Learning Organisations. </w:t>
            </w:r>
          </w:p>
        </w:tc>
      </w:tr>
      <w:tr w:rsidR="00C45AAD" w:rsidRPr="00356AB2" w14:paraId="573317F0" w14:textId="77777777" w:rsidTr="00F6215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86C20CD" w14:textId="5C2D78C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t>Future Outlook</w:t>
            </w:r>
            <w:proofErr w:type="gram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(Upcoming priorities, initiatives, or areas of focus)</w:t>
            </w:r>
          </w:p>
        </w:tc>
      </w:tr>
      <w:tr w:rsidR="00C45AAD" w:rsidRPr="00356AB2" w14:paraId="2E2C9E02" w14:textId="77777777" w:rsidTr="00D75D3E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DD9B7AB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5A77919" w14:textId="090D2908" w:rsidR="00897FDC" w:rsidRDefault="00897FDC" w:rsidP="00897FDC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897FDC">
              <w:rPr>
                <w:rFonts w:ascii="Arial" w:hAnsi="Arial"/>
                <w:sz w:val="22"/>
                <w:szCs w:val="22"/>
                <w:lang w:eastAsia="en-US"/>
              </w:rPr>
              <w:t xml:space="preserve">With insights from the GP Placement and Expansion work the training hub is doing and a mindful approach to equity in roles such as Training Program Director (TPD), Associate Director (AD), and educator work, </w:t>
            </w:r>
            <w:r w:rsidR="00F95AD2">
              <w:rPr>
                <w:rFonts w:ascii="Arial" w:hAnsi="Arial"/>
                <w:sz w:val="22"/>
                <w:szCs w:val="22"/>
                <w:lang w:eastAsia="en-US"/>
              </w:rPr>
              <w:t>August</w:t>
            </w:r>
            <w:r w:rsidRPr="00897FDC">
              <w:rPr>
                <w:rFonts w:ascii="Arial" w:hAnsi="Arial"/>
                <w:sz w:val="22"/>
                <w:szCs w:val="22"/>
                <w:lang w:eastAsia="en-US"/>
              </w:rPr>
              <w:t xml:space="preserve"> 2025</w:t>
            </w:r>
            <w:r w:rsidR="00F95AD2">
              <w:rPr>
                <w:rFonts w:ascii="Arial" w:hAnsi="Arial"/>
                <w:sz w:val="22"/>
                <w:szCs w:val="22"/>
                <w:lang w:eastAsia="en-US"/>
              </w:rPr>
              <w:t xml:space="preserve"> expansion is the current area of focus which will see </w:t>
            </w:r>
            <w:r w:rsidR="00957FD5">
              <w:rPr>
                <w:rFonts w:ascii="Arial" w:hAnsi="Arial"/>
                <w:sz w:val="22"/>
                <w:szCs w:val="22"/>
                <w:lang w:eastAsia="en-US"/>
              </w:rPr>
              <w:t>most</w:t>
            </w:r>
            <w:r w:rsidR="00F95AD2">
              <w:rPr>
                <w:rFonts w:ascii="Arial" w:hAnsi="Arial"/>
                <w:sz w:val="22"/>
                <w:szCs w:val="22"/>
                <w:lang w:eastAsia="en-US"/>
              </w:rPr>
              <w:t xml:space="preserve"> training programme</w:t>
            </w:r>
            <w:r w:rsidR="00957FD5">
              <w:rPr>
                <w:rFonts w:ascii="Arial" w:hAnsi="Arial"/>
                <w:sz w:val="22"/>
                <w:szCs w:val="22"/>
                <w:lang w:eastAsia="en-US"/>
              </w:rPr>
              <w:t>s</w:t>
            </w:r>
            <w:r w:rsidR="00F95AD2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957FD5">
              <w:rPr>
                <w:rFonts w:ascii="Arial" w:hAnsi="Arial"/>
                <w:sz w:val="22"/>
                <w:szCs w:val="22"/>
                <w:lang w:eastAsia="en-US"/>
              </w:rPr>
              <w:t>increase by 3 trainees.</w:t>
            </w:r>
          </w:p>
          <w:p w14:paraId="68A4233F" w14:textId="77777777" w:rsidR="009615C7" w:rsidRDefault="009615C7" w:rsidP="00897FDC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7DFB3C6" w14:textId="77777777" w:rsidR="00897FDC" w:rsidRPr="00897FDC" w:rsidRDefault="00897FDC" w:rsidP="00897FDC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897FDC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Advantages:</w:t>
            </w:r>
            <w:r w:rsidRPr="00897FDC"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  <w:p w14:paraId="3C0090E4" w14:textId="77777777" w:rsidR="00897FDC" w:rsidRPr="00897FDC" w:rsidRDefault="00897FDC" w:rsidP="00897FDC">
            <w:pPr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 w:rsidRPr="00897FDC">
              <w:rPr>
                <w:rFonts w:ascii="Arial" w:hAnsi="Arial"/>
                <w:sz w:val="22"/>
                <w:szCs w:val="22"/>
                <w:lang w:eastAsia="en-US"/>
              </w:rPr>
              <w:t>Immediate commencement of work (with funding confirmed later) </w:t>
            </w:r>
          </w:p>
          <w:p w14:paraId="7CC34C1F" w14:textId="77777777" w:rsidR="00897FDC" w:rsidRPr="00897FDC" w:rsidRDefault="00897FDC" w:rsidP="00897FDC">
            <w:pPr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 w:rsidRPr="00897FDC">
              <w:rPr>
                <w:rFonts w:ascii="Arial" w:hAnsi="Arial"/>
                <w:sz w:val="22"/>
                <w:szCs w:val="22"/>
                <w:lang w:eastAsia="en-US"/>
              </w:rPr>
              <w:t>Rapid delivery, potentially ahead of the national timeline </w:t>
            </w:r>
          </w:p>
          <w:p w14:paraId="6B4C4489" w14:textId="77777777" w:rsidR="00897FDC" w:rsidRPr="00897FDC" w:rsidRDefault="00897FDC" w:rsidP="00897FDC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 w:rsidRPr="00897FDC">
              <w:rPr>
                <w:rFonts w:ascii="Arial" w:hAnsi="Arial"/>
                <w:sz w:val="22"/>
                <w:szCs w:val="22"/>
                <w:lang w:eastAsia="en-US"/>
              </w:rPr>
              <w:t>Safe approach, building on established structures and practices. </w:t>
            </w:r>
          </w:p>
          <w:p w14:paraId="704D22EA" w14:textId="77777777" w:rsidR="00897FDC" w:rsidRDefault="00897FDC" w:rsidP="00897FDC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5BDE736" w14:textId="77777777" w:rsidR="00897FDC" w:rsidRDefault="00897FDC" w:rsidP="00897FDC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C4AA47E" w14:textId="77777777" w:rsidR="00897FDC" w:rsidRDefault="00897FDC" w:rsidP="00897FDC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AF31903" w14:textId="4C766E4B" w:rsidR="00897FDC" w:rsidRPr="00897FDC" w:rsidRDefault="00897FDC" w:rsidP="00897FDC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897FDC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Disadvantages:</w:t>
            </w:r>
            <w:r w:rsidRPr="00897FDC"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  <w:p w14:paraId="21ECEE8B" w14:textId="77777777" w:rsidR="00897FDC" w:rsidRPr="00897FDC" w:rsidRDefault="00897FDC" w:rsidP="00897FDC">
            <w:pPr>
              <w:numPr>
                <w:ilvl w:val="0"/>
                <w:numId w:val="6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 w:rsidRPr="00897FDC">
              <w:rPr>
                <w:rFonts w:ascii="Arial" w:hAnsi="Arial"/>
                <w:sz w:val="22"/>
                <w:szCs w:val="22"/>
                <w:lang w:eastAsia="en-US"/>
              </w:rPr>
              <w:t>Missed opportunity for innovation </w:t>
            </w:r>
          </w:p>
          <w:p w14:paraId="19880FE2" w14:textId="77777777" w:rsidR="00897FDC" w:rsidRPr="00897FDC" w:rsidRDefault="00897FDC" w:rsidP="00897FDC">
            <w:pPr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 w:rsidRPr="00897FDC">
              <w:rPr>
                <w:rFonts w:ascii="Arial" w:hAnsi="Arial"/>
                <w:sz w:val="22"/>
                <w:szCs w:val="22"/>
                <w:lang w:eastAsia="en-US"/>
              </w:rPr>
              <w:t>Potential outcome is a less community-focused model </w:t>
            </w:r>
          </w:p>
          <w:p w14:paraId="13D60C39" w14:textId="77777777" w:rsidR="00897FDC" w:rsidRPr="00897FDC" w:rsidRDefault="00897FDC" w:rsidP="00897FDC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 w:rsidRPr="00897FDC">
              <w:rPr>
                <w:rFonts w:ascii="Arial" w:hAnsi="Arial"/>
                <w:sz w:val="22"/>
                <w:szCs w:val="22"/>
                <w:lang w:eastAsia="en-US"/>
              </w:rPr>
              <w:t>Risk of educator burnout due to increased workload without certain additional resources </w:t>
            </w:r>
          </w:p>
          <w:p w14:paraId="159FA640" w14:textId="77777777" w:rsidR="00897FDC" w:rsidRPr="00897FDC" w:rsidRDefault="00897FDC" w:rsidP="00897FDC">
            <w:pPr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 w:rsidRPr="00897FDC">
              <w:rPr>
                <w:rFonts w:ascii="Arial" w:hAnsi="Arial"/>
                <w:sz w:val="22"/>
                <w:szCs w:val="22"/>
                <w:lang w:eastAsia="en-US"/>
              </w:rPr>
              <w:t>Expansion ceiling, considering potential limitations in existing structures. </w:t>
            </w:r>
          </w:p>
          <w:p w14:paraId="28B999ED" w14:textId="77777777" w:rsidR="00897FDC" w:rsidRPr="00897FDC" w:rsidRDefault="00897FDC" w:rsidP="00897FDC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 w:rsidRPr="00897FDC">
              <w:rPr>
                <w:rFonts w:ascii="Arial" w:hAnsi="Arial"/>
                <w:sz w:val="22"/>
                <w:szCs w:val="22"/>
                <w:lang w:eastAsia="en-US"/>
              </w:rPr>
              <w:t>Reliance on additional educator and support funding, but more flexible on timing. </w:t>
            </w:r>
          </w:p>
          <w:p w14:paraId="3A8AEDE6" w14:textId="77777777" w:rsidR="00897FDC" w:rsidRPr="00897FDC" w:rsidRDefault="00897FDC" w:rsidP="00897FDC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897FDC"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"/>
              <w:gridCol w:w="1560"/>
              <w:gridCol w:w="1320"/>
            </w:tblGrid>
            <w:tr w:rsidR="00897FDC" w:rsidRPr="00897FDC" w14:paraId="02923CFB" w14:textId="77777777" w:rsidTr="00897FDC">
              <w:trPr>
                <w:trHeight w:val="300"/>
              </w:trPr>
              <w:tc>
                <w:tcPr>
                  <w:tcW w:w="1170" w:type="dxa"/>
                  <w:shd w:val="clear" w:color="auto" w:fill="auto"/>
                  <w:hideMark/>
                </w:tcPr>
                <w:p w14:paraId="7ED57661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ICB 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14:paraId="5E2B61AB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Current Intake </w:t>
                  </w:r>
                </w:p>
              </w:tc>
              <w:tc>
                <w:tcPr>
                  <w:tcW w:w="1320" w:type="dxa"/>
                  <w:shd w:val="clear" w:color="auto" w:fill="auto"/>
                  <w:hideMark/>
                </w:tcPr>
                <w:p w14:paraId="414ED5D5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2025/26 </w:t>
                  </w:r>
                </w:p>
                <w:p w14:paraId="086E17C3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Increase </w:t>
                  </w:r>
                </w:p>
              </w:tc>
            </w:tr>
            <w:tr w:rsidR="00897FDC" w:rsidRPr="00897FDC" w14:paraId="2FD07E34" w14:textId="77777777" w:rsidTr="00897FDC">
              <w:trPr>
                <w:trHeight w:val="300"/>
              </w:trPr>
              <w:tc>
                <w:tcPr>
                  <w:tcW w:w="1170" w:type="dxa"/>
                  <w:shd w:val="clear" w:color="auto" w:fill="auto"/>
                  <w:hideMark/>
                </w:tcPr>
                <w:p w14:paraId="3F3A11F2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BLMK 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14:paraId="31CF4390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49 </w:t>
                  </w:r>
                </w:p>
              </w:tc>
              <w:tc>
                <w:tcPr>
                  <w:tcW w:w="1320" w:type="dxa"/>
                  <w:shd w:val="clear" w:color="auto" w:fill="auto"/>
                  <w:hideMark/>
                </w:tcPr>
                <w:p w14:paraId="775FC333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6 </w:t>
                  </w:r>
                </w:p>
              </w:tc>
            </w:tr>
            <w:tr w:rsidR="00897FDC" w:rsidRPr="00897FDC" w14:paraId="42F3125C" w14:textId="77777777" w:rsidTr="00897FDC">
              <w:trPr>
                <w:trHeight w:val="300"/>
              </w:trPr>
              <w:tc>
                <w:tcPr>
                  <w:tcW w:w="1170" w:type="dxa"/>
                  <w:shd w:val="clear" w:color="auto" w:fill="auto"/>
                  <w:hideMark/>
                </w:tcPr>
                <w:p w14:paraId="6C866256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C&amp;P 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14:paraId="7A776816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75 </w:t>
                  </w:r>
                </w:p>
              </w:tc>
              <w:tc>
                <w:tcPr>
                  <w:tcW w:w="1320" w:type="dxa"/>
                  <w:shd w:val="clear" w:color="auto" w:fill="auto"/>
                  <w:hideMark/>
                </w:tcPr>
                <w:p w14:paraId="51E11518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9 </w:t>
                  </w:r>
                </w:p>
              </w:tc>
            </w:tr>
            <w:tr w:rsidR="00897FDC" w:rsidRPr="00897FDC" w14:paraId="4CF8708B" w14:textId="77777777" w:rsidTr="00897FDC">
              <w:trPr>
                <w:trHeight w:val="300"/>
              </w:trPr>
              <w:tc>
                <w:tcPr>
                  <w:tcW w:w="1170" w:type="dxa"/>
                  <w:shd w:val="clear" w:color="auto" w:fill="auto"/>
                  <w:hideMark/>
                </w:tcPr>
                <w:p w14:paraId="021428B2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N&amp;N 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14:paraId="5A69DCE6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68 </w:t>
                  </w:r>
                </w:p>
              </w:tc>
              <w:tc>
                <w:tcPr>
                  <w:tcW w:w="1320" w:type="dxa"/>
                  <w:shd w:val="clear" w:color="auto" w:fill="auto"/>
                  <w:hideMark/>
                </w:tcPr>
                <w:p w14:paraId="2A4C5227" w14:textId="41E0D76C" w:rsidR="00897FDC" w:rsidRPr="00897FDC" w:rsidRDefault="00F63151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</w:tr>
            <w:tr w:rsidR="00897FDC" w:rsidRPr="00897FDC" w14:paraId="2C35A2E0" w14:textId="77777777" w:rsidTr="00897FDC">
              <w:trPr>
                <w:trHeight w:val="300"/>
              </w:trPr>
              <w:tc>
                <w:tcPr>
                  <w:tcW w:w="1170" w:type="dxa"/>
                  <w:shd w:val="clear" w:color="auto" w:fill="auto"/>
                  <w:hideMark/>
                </w:tcPr>
                <w:p w14:paraId="72025E2F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SNEE 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14:paraId="5FE41B2C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70 </w:t>
                  </w:r>
                </w:p>
              </w:tc>
              <w:tc>
                <w:tcPr>
                  <w:tcW w:w="1320" w:type="dxa"/>
                  <w:shd w:val="clear" w:color="auto" w:fill="auto"/>
                  <w:hideMark/>
                </w:tcPr>
                <w:p w14:paraId="4CF3489E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9 </w:t>
                  </w:r>
                </w:p>
              </w:tc>
            </w:tr>
            <w:tr w:rsidR="00897FDC" w:rsidRPr="00897FDC" w14:paraId="4A1F1A9D" w14:textId="77777777" w:rsidTr="00897FDC">
              <w:trPr>
                <w:trHeight w:val="300"/>
              </w:trPr>
              <w:tc>
                <w:tcPr>
                  <w:tcW w:w="1170" w:type="dxa"/>
                  <w:shd w:val="clear" w:color="auto" w:fill="auto"/>
                  <w:hideMark/>
                </w:tcPr>
                <w:p w14:paraId="20B63E2C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H&amp;WE 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14:paraId="0A7BECD0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99 </w:t>
                  </w:r>
                </w:p>
              </w:tc>
              <w:tc>
                <w:tcPr>
                  <w:tcW w:w="1320" w:type="dxa"/>
                  <w:shd w:val="clear" w:color="auto" w:fill="auto"/>
                  <w:hideMark/>
                </w:tcPr>
                <w:p w14:paraId="4F389E56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12 </w:t>
                  </w:r>
                </w:p>
              </w:tc>
            </w:tr>
            <w:tr w:rsidR="00897FDC" w:rsidRPr="00897FDC" w14:paraId="22FE5539" w14:textId="77777777" w:rsidTr="00897FDC">
              <w:trPr>
                <w:trHeight w:val="300"/>
              </w:trPr>
              <w:tc>
                <w:tcPr>
                  <w:tcW w:w="1170" w:type="dxa"/>
                  <w:shd w:val="clear" w:color="auto" w:fill="auto"/>
                  <w:hideMark/>
                </w:tcPr>
                <w:p w14:paraId="264CDCEB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MSE 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14:paraId="6DC3DBB7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67 </w:t>
                  </w:r>
                </w:p>
              </w:tc>
              <w:tc>
                <w:tcPr>
                  <w:tcW w:w="1320" w:type="dxa"/>
                  <w:shd w:val="clear" w:color="auto" w:fill="auto"/>
                  <w:hideMark/>
                </w:tcPr>
                <w:p w14:paraId="0DD0EC1A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9 </w:t>
                  </w:r>
                </w:p>
              </w:tc>
            </w:tr>
            <w:tr w:rsidR="00897FDC" w:rsidRPr="00897FDC" w14:paraId="5425F4D8" w14:textId="77777777" w:rsidTr="00897FDC">
              <w:trPr>
                <w:trHeight w:val="300"/>
              </w:trPr>
              <w:tc>
                <w:tcPr>
                  <w:tcW w:w="1170" w:type="dxa"/>
                  <w:shd w:val="clear" w:color="auto" w:fill="auto"/>
                  <w:hideMark/>
                </w:tcPr>
                <w:p w14:paraId="121832E4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Total Increase 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14:paraId="45651DBC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320" w:type="dxa"/>
                  <w:shd w:val="clear" w:color="auto" w:fill="auto"/>
                  <w:hideMark/>
                </w:tcPr>
                <w:p w14:paraId="53328505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52 </w:t>
                  </w:r>
                </w:p>
              </w:tc>
            </w:tr>
            <w:tr w:rsidR="00897FDC" w:rsidRPr="00897FDC" w14:paraId="0324E40B" w14:textId="77777777" w:rsidTr="00897FDC">
              <w:trPr>
                <w:trHeight w:val="300"/>
              </w:trPr>
              <w:tc>
                <w:tcPr>
                  <w:tcW w:w="1170" w:type="dxa"/>
                  <w:shd w:val="clear" w:color="auto" w:fill="auto"/>
                  <w:hideMark/>
                </w:tcPr>
                <w:p w14:paraId="4F2EEF1D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Grand Total 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14:paraId="569813E9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428 </w:t>
                  </w:r>
                </w:p>
              </w:tc>
              <w:tc>
                <w:tcPr>
                  <w:tcW w:w="1320" w:type="dxa"/>
                  <w:shd w:val="clear" w:color="auto" w:fill="auto"/>
                  <w:hideMark/>
                </w:tcPr>
                <w:p w14:paraId="2340AC76" w14:textId="77777777" w:rsidR="00897FDC" w:rsidRPr="00897FDC" w:rsidRDefault="00897FDC" w:rsidP="00897FDC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480 </w:t>
                  </w:r>
                </w:p>
              </w:tc>
            </w:tr>
          </w:tbl>
          <w:p w14:paraId="161491DE" w14:textId="6038AE9E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361D882A" w14:textId="77777777" w:rsidTr="002430F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6B69922" w14:textId="1F917E7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Conclusion</w:t>
            </w:r>
          </w:p>
        </w:tc>
      </w:tr>
      <w:tr w:rsidR="00C45AAD" w:rsidRPr="00356AB2" w14:paraId="38655541" w14:textId="77777777" w:rsidTr="000D24D8">
        <w:trPr>
          <w:trHeight w:val="2142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1BC38F83" w14:textId="40D0EDF2" w:rsidR="000D24D8" w:rsidRDefault="000D24D8" w:rsidP="000D24D8">
            <w:pPr>
              <w:tabs>
                <w:tab w:val="left" w:pos="5730"/>
              </w:tabs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</w:tbl>
    <w:p w14:paraId="24B5A542" w14:textId="6E501B15" w:rsidR="000D24D8" w:rsidRPr="000D24D8" w:rsidRDefault="000D24D8" w:rsidP="000D24D8">
      <w:pPr>
        <w:tabs>
          <w:tab w:val="left" w:pos="5520"/>
          <w:tab w:val="left" w:pos="11655"/>
        </w:tabs>
        <w:spacing w:line="0" w:lineRule="atLeast"/>
        <w:rPr>
          <w:rFonts w:ascii="Arial" w:eastAsia="Arial" w:hAnsi="Arial"/>
          <w:color w:val="005EB8"/>
          <w:sz w:val="64"/>
        </w:rPr>
      </w:pPr>
    </w:p>
    <w:sectPr w:rsidR="000D24D8" w:rsidRPr="000D24D8" w:rsidSect="000D24D8">
      <w:headerReference w:type="default" r:id="rId10"/>
      <w:footerReference w:type="default" r:id="rId11"/>
      <w:pgSz w:w="14400" w:h="10800" w:orient="landscape"/>
      <w:pgMar w:top="875" w:right="320" w:bottom="0" w:left="400" w:header="0" w:footer="634" w:gutter="0"/>
      <w:cols w:space="0" w:equalWidth="0">
        <w:col w:w="136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52E2E" w14:textId="77777777" w:rsidR="007711A5" w:rsidRDefault="007711A5" w:rsidP="00C45AAD">
      <w:r>
        <w:separator/>
      </w:r>
    </w:p>
  </w:endnote>
  <w:endnote w:type="continuationSeparator" w:id="0">
    <w:p w14:paraId="09C0E943" w14:textId="77777777" w:rsidR="007711A5" w:rsidRDefault="007711A5" w:rsidP="00C4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5F984" w14:textId="6AD09273" w:rsidR="007E17F4" w:rsidRDefault="007E17F4">
    <w:pPr>
      <w:pStyle w:val="Footer"/>
    </w:pPr>
    <w:r w:rsidRPr="00DD3B24">
      <w:rPr>
        <w:noProof/>
      </w:rPr>
      <w:drawing>
        <wp:anchor distT="0" distB="0" distL="114300" distR="114300" simplePos="0" relativeHeight="251661312" behindDoc="1" locked="1" layoutInCell="1" allowOverlap="0" wp14:anchorId="5E8F3DBC" wp14:editId="7FEAAEE3">
          <wp:simplePos x="0" y="0"/>
          <wp:positionH relativeFrom="page">
            <wp:posOffset>5676900</wp:posOffset>
          </wp:positionH>
          <wp:positionV relativeFrom="page">
            <wp:posOffset>6591300</wp:posOffset>
          </wp:positionV>
          <wp:extent cx="3599815" cy="132715"/>
          <wp:effectExtent l="0" t="0" r="635" b="635"/>
          <wp:wrapThrough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hrough>
          <wp:docPr id="2079709756" name="Picture 20797097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05DF1" w14:textId="77777777" w:rsidR="007711A5" w:rsidRDefault="007711A5" w:rsidP="00C45AAD">
      <w:r>
        <w:separator/>
      </w:r>
    </w:p>
  </w:footnote>
  <w:footnote w:type="continuationSeparator" w:id="0">
    <w:p w14:paraId="607A54DE" w14:textId="77777777" w:rsidR="007711A5" w:rsidRDefault="007711A5" w:rsidP="00C4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B6144" w14:textId="25BC5CDC" w:rsidR="007E17F4" w:rsidRDefault="007E17F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4321D0" wp14:editId="542373D4">
          <wp:simplePos x="0" y="0"/>
          <wp:positionH relativeFrom="margin">
            <wp:align>right</wp:align>
          </wp:positionH>
          <wp:positionV relativeFrom="page">
            <wp:posOffset>76200</wp:posOffset>
          </wp:positionV>
          <wp:extent cx="1782445" cy="1038225"/>
          <wp:effectExtent l="0" t="0" r="8255" b="9525"/>
          <wp:wrapTight wrapText="bothSides">
            <wp:wrapPolygon edited="0">
              <wp:start x="0" y="0"/>
              <wp:lineTo x="0" y="21402"/>
              <wp:lineTo x="21469" y="21402"/>
              <wp:lineTo x="21469" y="0"/>
              <wp:lineTo x="0" y="0"/>
            </wp:wrapPolygon>
          </wp:wrapTight>
          <wp:docPr id="1661181815" name="Picture 16611818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5EEC20BA">
      <w:start w:val="1"/>
      <w:numFmt w:val="bullet"/>
      <w:lvlText w:val="•"/>
      <w:lvlJc w:val="left"/>
    </w:lvl>
    <w:lvl w:ilvl="1" w:tplc="E9B8D440">
      <w:start w:val="1"/>
      <w:numFmt w:val="bullet"/>
      <w:lvlText w:val=""/>
      <w:lvlJc w:val="left"/>
    </w:lvl>
    <w:lvl w:ilvl="2" w:tplc="4C862E68">
      <w:start w:val="1"/>
      <w:numFmt w:val="bullet"/>
      <w:lvlText w:val=""/>
      <w:lvlJc w:val="left"/>
    </w:lvl>
    <w:lvl w:ilvl="3" w:tplc="A52040F8">
      <w:start w:val="1"/>
      <w:numFmt w:val="bullet"/>
      <w:lvlText w:val=""/>
      <w:lvlJc w:val="left"/>
    </w:lvl>
    <w:lvl w:ilvl="4" w:tplc="F77ABA66">
      <w:start w:val="1"/>
      <w:numFmt w:val="bullet"/>
      <w:lvlText w:val=""/>
      <w:lvlJc w:val="left"/>
    </w:lvl>
    <w:lvl w:ilvl="5" w:tplc="55900AC4">
      <w:start w:val="1"/>
      <w:numFmt w:val="bullet"/>
      <w:lvlText w:val=""/>
      <w:lvlJc w:val="left"/>
    </w:lvl>
    <w:lvl w:ilvl="6" w:tplc="4308F5CA">
      <w:start w:val="1"/>
      <w:numFmt w:val="bullet"/>
      <w:lvlText w:val=""/>
      <w:lvlJc w:val="left"/>
    </w:lvl>
    <w:lvl w:ilvl="7" w:tplc="10DACFDC">
      <w:start w:val="1"/>
      <w:numFmt w:val="bullet"/>
      <w:lvlText w:val=""/>
      <w:lvlJc w:val="left"/>
    </w:lvl>
    <w:lvl w:ilvl="8" w:tplc="D7D0E3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9E7CA1B8">
      <w:start w:val="1"/>
      <w:numFmt w:val="bullet"/>
      <w:lvlText w:val="•"/>
      <w:lvlJc w:val="left"/>
    </w:lvl>
    <w:lvl w:ilvl="1" w:tplc="C2FCBB42">
      <w:start w:val="1"/>
      <w:numFmt w:val="bullet"/>
      <w:lvlText w:val=""/>
      <w:lvlJc w:val="left"/>
    </w:lvl>
    <w:lvl w:ilvl="2" w:tplc="5B4E4538">
      <w:start w:val="1"/>
      <w:numFmt w:val="bullet"/>
      <w:lvlText w:val=""/>
      <w:lvlJc w:val="left"/>
    </w:lvl>
    <w:lvl w:ilvl="3" w:tplc="FF3E8C3A">
      <w:start w:val="1"/>
      <w:numFmt w:val="bullet"/>
      <w:lvlText w:val=""/>
      <w:lvlJc w:val="left"/>
    </w:lvl>
    <w:lvl w:ilvl="4" w:tplc="2B6C5DD6">
      <w:start w:val="1"/>
      <w:numFmt w:val="bullet"/>
      <w:lvlText w:val=""/>
      <w:lvlJc w:val="left"/>
    </w:lvl>
    <w:lvl w:ilvl="5" w:tplc="441675FA">
      <w:start w:val="1"/>
      <w:numFmt w:val="bullet"/>
      <w:lvlText w:val=""/>
      <w:lvlJc w:val="left"/>
    </w:lvl>
    <w:lvl w:ilvl="6" w:tplc="70DACC40">
      <w:start w:val="1"/>
      <w:numFmt w:val="bullet"/>
      <w:lvlText w:val=""/>
      <w:lvlJc w:val="left"/>
    </w:lvl>
    <w:lvl w:ilvl="7" w:tplc="31109058">
      <w:start w:val="1"/>
      <w:numFmt w:val="bullet"/>
      <w:lvlText w:val=""/>
      <w:lvlJc w:val="left"/>
    </w:lvl>
    <w:lvl w:ilvl="8" w:tplc="F4924020">
      <w:start w:val="1"/>
      <w:numFmt w:val="bullet"/>
      <w:lvlText w:val=""/>
      <w:lvlJc w:val="left"/>
    </w:lvl>
  </w:abstractNum>
  <w:abstractNum w:abstractNumId="2" w15:restartNumberingAfterBreak="0">
    <w:nsid w:val="00DD3C8A"/>
    <w:multiLevelType w:val="multilevel"/>
    <w:tmpl w:val="70A8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B86B65"/>
    <w:multiLevelType w:val="multilevel"/>
    <w:tmpl w:val="B54C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7D1AEA"/>
    <w:multiLevelType w:val="multilevel"/>
    <w:tmpl w:val="6A24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8C21B8"/>
    <w:multiLevelType w:val="multilevel"/>
    <w:tmpl w:val="8840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4A2DFB"/>
    <w:multiLevelType w:val="multilevel"/>
    <w:tmpl w:val="6AD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FB16DC"/>
    <w:multiLevelType w:val="multilevel"/>
    <w:tmpl w:val="393E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687374"/>
    <w:multiLevelType w:val="multilevel"/>
    <w:tmpl w:val="D128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B95788"/>
    <w:multiLevelType w:val="multilevel"/>
    <w:tmpl w:val="9E12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9012515">
    <w:abstractNumId w:val="0"/>
  </w:num>
  <w:num w:numId="2" w16cid:durableId="586576878">
    <w:abstractNumId w:val="1"/>
  </w:num>
  <w:num w:numId="3" w16cid:durableId="557013785">
    <w:abstractNumId w:val="9"/>
  </w:num>
  <w:num w:numId="4" w16cid:durableId="2131507551">
    <w:abstractNumId w:val="8"/>
  </w:num>
  <w:num w:numId="5" w16cid:durableId="477265448">
    <w:abstractNumId w:val="4"/>
  </w:num>
  <w:num w:numId="6" w16cid:durableId="451098121">
    <w:abstractNumId w:val="5"/>
  </w:num>
  <w:num w:numId="7" w16cid:durableId="1678196023">
    <w:abstractNumId w:val="3"/>
  </w:num>
  <w:num w:numId="8" w16cid:durableId="1194659286">
    <w:abstractNumId w:val="2"/>
  </w:num>
  <w:num w:numId="9" w16cid:durableId="1686666031">
    <w:abstractNumId w:val="7"/>
  </w:num>
  <w:num w:numId="10" w16cid:durableId="1238976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E7"/>
    <w:rsid w:val="000316C1"/>
    <w:rsid w:val="00093B98"/>
    <w:rsid w:val="000B78D1"/>
    <w:rsid w:val="000D24D8"/>
    <w:rsid w:val="00111DD7"/>
    <w:rsid w:val="0012469C"/>
    <w:rsid w:val="001323F1"/>
    <w:rsid w:val="001A7F9D"/>
    <w:rsid w:val="00212A51"/>
    <w:rsid w:val="0022273A"/>
    <w:rsid w:val="002430F2"/>
    <w:rsid w:val="002A4027"/>
    <w:rsid w:val="002A7600"/>
    <w:rsid w:val="00356AB2"/>
    <w:rsid w:val="003F1FEB"/>
    <w:rsid w:val="0045426E"/>
    <w:rsid w:val="00512F36"/>
    <w:rsid w:val="0055013F"/>
    <w:rsid w:val="0057299A"/>
    <w:rsid w:val="00707708"/>
    <w:rsid w:val="007711A5"/>
    <w:rsid w:val="007E17F4"/>
    <w:rsid w:val="007E4A21"/>
    <w:rsid w:val="00811735"/>
    <w:rsid w:val="00813E74"/>
    <w:rsid w:val="0082068F"/>
    <w:rsid w:val="00845DBD"/>
    <w:rsid w:val="00854ADE"/>
    <w:rsid w:val="00897FDC"/>
    <w:rsid w:val="008F35CF"/>
    <w:rsid w:val="00947A5E"/>
    <w:rsid w:val="00957FD5"/>
    <w:rsid w:val="00961289"/>
    <w:rsid w:val="009615C7"/>
    <w:rsid w:val="00A60F73"/>
    <w:rsid w:val="00C45AAD"/>
    <w:rsid w:val="00CE19E7"/>
    <w:rsid w:val="00D43F41"/>
    <w:rsid w:val="00D97034"/>
    <w:rsid w:val="00E02C6A"/>
    <w:rsid w:val="00E2446F"/>
    <w:rsid w:val="00E24E50"/>
    <w:rsid w:val="00E37C63"/>
    <w:rsid w:val="00E5011F"/>
    <w:rsid w:val="00E5737A"/>
    <w:rsid w:val="00E82F6A"/>
    <w:rsid w:val="00F62152"/>
    <w:rsid w:val="00F63151"/>
    <w:rsid w:val="00F65061"/>
    <w:rsid w:val="00F9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B10AD"/>
  <w15:chartTrackingRefBased/>
  <w15:docId w15:val="{C8900F0A-AD68-4444-8C60-771A59C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E1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9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9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19E7"/>
    <w:rPr>
      <w:b/>
      <w:bCs/>
    </w:rPr>
  </w:style>
  <w:style w:type="table" w:styleId="TableGrid">
    <w:name w:val="Table Grid"/>
    <w:basedOn w:val="TableNormal"/>
    <w:uiPriority w:val="39"/>
    <w:rsid w:val="00111DD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23F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AAD"/>
  </w:style>
  <w:style w:type="paragraph" w:styleId="Footer">
    <w:name w:val="footer"/>
    <w:basedOn w:val="Normal"/>
    <w:link w:val="Foot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434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0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6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8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0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67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0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6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6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6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1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2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FF6CABBD114274B8602956EC63A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37C49-966D-4C15-A59D-3129B1291F59}"/>
      </w:docPartPr>
      <w:docPartBody>
        <w:p w:rsidR="00182428" w:rsidRDefault="00FF4AE5" w:rsidP="00FF4AE5">
          <w:pPr>
            <w:pStyle w:val="ADFF6CABBD114274B8602956EC63A521"/>
          </w:pPr>
          <w:r w:rsidRPr="00F826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5"/>
    <w:rsid w:val="00182428"/>
    <w:rsid w:val="0055013F"/>
    <w:rsid w:val="005C74A8"/>
    <w:rsid w:val="00E5011F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AE5"/>
    <w:rPr>
      <w:color w:val="666666"/>
    </w:rPr>
  </w:style>
  <w:style w:type="paragraph" w:customStyle="1" w:styleId="ADFF6CABBD114274B8602956EC63A521">
    <w:name w:val="ADFF6CABBD114274B8602956EC63A521"/>
    <w:rsid w:val="00FF4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90cbb-051c-40b7-9629-06d6b896820c">
      <Terms xmlns="http://schemas.microsoft.com/office/infopath/2007/PartnerControls"/>
    </lcf76f155ced4ddcb4097134ff3c332f>
    <TaxCatchAll xmlns="6d6509e6-4d7e-486f-b328-5b88be5fb7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21" ma:contentTypeDescription="Create a new document." ma:contentTypeScope="" ma:versionID="a3572b41043eee498ea26b5560327272">
  <xsd:schema xmlns:xsd="http://www.w3.org/2001/XMLSchema" xmlns:xs="http://www.w3.org/2001/XMLSchema" xmlns:p="http://schemas.microsoft.com/office/2006/metadata/properties" xmlns:ns1="http://schemas.microsoft.com/sharepoint/v3" xmlns:ns2="6d6509e6-4d7e-486f-b328-5b88be5fb760" xmlns:ns3="03c90cbb-051c-40b7-9629-06d6b896820c" targetNamespace="http://schemas.microsoft.com/office/2006/metadata/properties" ma:root="true" ma:fieldsID="7ea2920d5cc01d2c56d552331b627f81" ns1:_="" ns2:_="" ns3:_="">
    <xsd:import namespace="http://schemas.microsoft.com/sharepoint/v3"/>
    <xsd:import namespace="6d6509e6-4d7e-486f-b328-5b88be5fb760"/>
    <xsd:import namespace="03c90cbb-051c-40b7-9629-06d6b89682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7146461-e173-44aa-9be0-fcc4b7ccabb3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4AFC7-3A8D-4386-81B6-6CF049A9413E}">
  <ds:schemaRefs>
    <ds:schemaRef ds:uri="http://schemas.microsoft.com/office/2006/metadata/properties"/>
    <ds:schemaRef ds:uri="http://www.w3.org/XML/1998/namespace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03c90cbb-051c-40b7-9629-06d6b896820c"/>
    <ds:schemaRef ds:uri="http://purl.org/dc/dcmitype/"/>
    <ds:schemaRef ds:uri="6d6509e6-4d7e-486f-b328-5b88be5fb76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45C129D-4CE9-48BE-BBBA-E009C2F99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6509e6-4d7e-486f-b328-5b88be5fb760"/>
    <ds:schemaRef ds:uri="03c90cbb-051c-40b7-9629-06d6b8968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0F120-6129-45C9-8F1D-1DCBE595FC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Fernandez</dc:creator>
  <cp:keywords/>
  <cp:lastModifiedBy>WINCHESTER, Becca (NHS ENGLAND - T1510)</cp:lastModifiedBy>
  <cp:revision>2</cp:revision>
  <dcterms:created xsi:type="dcterms:W3CDTF">2024-10-29T19:00:00Z</dcterms:created>
  <dcterms:modified xsi:type="dcterms:W3CDTF">2024-10-29T19:00:00Z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Order">
    <vt:r8>23738300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