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7CD2D233" w:rsidR="002430F2" w:rsidRPr="00356AB2" w:rsidRDefault="00B046A7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AHP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2D36DED7" w:rsidR="002430F2" w:rsidRPr="00356AB2" w:rsidRDefault="00B046A7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Sara Ennew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18D7B062" w:rsidR="00C45AAD" w:rsidRPr="00356AB2" w:rsidRDefault="00B046A7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Learner Support</w:t>
                </w:r>
              </w:p>
            </w:tc>
          </w:sdtContent>
        </w:sdt>
      </w:tr>
      <w:tr w:rsidR="00C45AAD" w:rsidRPr="00356AB2" w14:paraId="38CA3CFC" w14:textId="77777777" w:rsidTr="00C45AAD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19FA95E8" w:rsidR="00C45AAD" w:rsidRPr="00356AB2" w:rsidRDefault="00B046A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Quarterly – July-Oct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4D87C40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29E80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402AAC" w14:textId="6737362F" w:rsidR="00C45AAD" w:rsidRDefault="00B046A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Some capacity secured to support paramedic placement </w:t>
            </w:r>
            <w:r w:rsidR="00934814">
              <w:rPr>
                <w:rFonts w:ascii="Arial" w:hAnsi="Arial"/>
                <w:sz w:val="22"/>
                <w:szCs w:val="22"/>
                <w:lang w:eastAsia="en-US"/>
              </w:rPr>
              <w:t>expansion;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this will include reviewing primary care current state.</w:t>
            </w:r>
          </w:p>
          <w:p w14:paraId="4D591ABC" w14:textId="77777777" w:rsidR="00934814" w:rsidRDefault="0093481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AE792A8" w14:textId="316FD4B9" w:rsidR="00934814" w:rsidRDefault="0093481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No activity to record as no identified capacity.</w:t>
            </w:r>
          </w:p>
          <w:p w14:paraId="5672E0F8" w14:textId="77777777" w:rsidR="00B046A7" w:rsidRDefault="00B046A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6D7652" w14:textId="6261592A" w:rsidR="00B046A7" w:rsidRDefault="00B046A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Please note</w:t>
            </w:r>
            <w:r w:rsidR="00934814">
              <w:rPr>
                <w:rFonts w:ascii="Arial" w:hAnsi="Arial"/>
                <w:sz w:val="22"/>
                <w:szCs w:val="22"/>
                <w:lang w:eastAsia="en-US"/>
              </w:rPr>
              <w:t xml:space="preserve"> entry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below</w:t>
            </w:r>
            <w:r w:rsidR="00934814">
              <w:rPr>
                <w:rFonts w:ascii="Arial" w:hAnsi="Arial"/>
                <w:sz w:val="22"/>
                <w:szCs w:val="22"/>
                <w:lang w:eastAsia="en-US"/>
              </w:rPr>
              <w:t xml:space="preserve"> under risk.</w:t>
            </w:r>
          </w:p>
          <w:p w14:paraId="158ABD87" w14:textId="20D8D38F" w:rsidR="00B046A7" w:rsidRDefault="00B046A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EE7331" w14:textId="77777777" w:rsidR="00B046A7" w:rsidRDefault="00B046A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3907D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E92F15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3275C5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B86016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57F996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9824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98FA1D1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35137D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53329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A539B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BAE8D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2802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DD0E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92740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F7512F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A21CBB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00B9159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A681D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572002C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4F176C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912244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ACF93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B3E102D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7D58389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33284A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520B0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A6D331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24537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BE6C84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BE3F7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EF00D3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EEBD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CFD5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E1A22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82BAC3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76145C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005A18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2A57D1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7305F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3BF40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18FF6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A90F1A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0FE16C9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0E8FD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7B1793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E84C0DF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E80F3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9B9F0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61403F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FB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5FE5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C45AAD">
        <w:trPr>
          <w:trHeight w:val="2116"/>
        </w:trPr>
        <w:tc>
          <w:tcPr>
            <w:tcW w:w="7596" w:type="dxa"/>
            <w:gridSpan w:val="2"/>
            <w:shd w:val="clear" w:color="auto" w:fill="auto"/>
          </w:tcPr>
          <w:p w14:paraId="78B7699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368D2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2065E3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686F25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E78DA1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F919475" w14:textId="53208557" w:rsidR="00C45AAD" w:rsidRDefault="0093481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Risk to delivery – no capacity to support development of KPI’s or to monitor progress. Senior non-medical clinical team continue discussions re support that Stef can offer in her capacity as a multi-professional first point of contact.</w:t>
            </w:r>
          </w:p>
          <w:p w14:paraId="12168B2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4679E0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3CDB8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B0AC1F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C7847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330" w14:textId="77777777" w:rsidR="00845DBD" w:rsidRPr="00845DBD" w:rsidRDefault="00845DB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E05826">
        <w:trPr>
          <w:trHeight w:val="983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3C9C8CB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F28CA8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EE21B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F40D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A62F79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DB2DB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B670A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F2137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A85F32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0BE777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5E056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36D3C9" w14:textId="10E4BCBD" w:rsidR="00C45AAD" w:rsidRDefault="0093481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To continue discussions re confirming role and remit of support to AHP learners within primary care of multi-professional resource.</w:t>
            </w:r>
          </w:p>
          <w:p w14:paraId="282E5D5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2091F9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5D372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491D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40D0EDF2" w:rsidR="000D24D8" w:rsidRDefault="000D24D8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2A0F4" w14:textId="77777777" w:rsidR="0016490E" w:rsidRDefault="0016490E" w:rsidP="00C45AAD">
      <w:r>
        <w:separator/>
      </w:r>
    </w:p>
  </w:endnote>
  <w:endnote w:type="continuationSeparator" w:id="0">
    <w:p w14:paraId="1F7FE1E6" w14:textId="77777777" w:rsidR="0016490E" w:rsidRDefault="0016490E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31A5" w14:textId="77777777" w:rsidR="0016490E" w:rsidRDefault="0016490E" w:rsidP="00C45AAD">
      <w:r>
        <w:separator/>
      </w:r>
    </w:p>
  </w:footnote>
  <w:footnote w:type="continuationSeparator" w:id="0">
    <w:p w14:paraId="77E446F7" w14:textId="77777777" w:rsidR="0016490E" w:rsidRDefault="0016490E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num w:numId="1" w16cid:durableId="1039012515">
    <w:abstractNumId w:val="0"/>
  </w:num>
  <w:num w:numId="2" w16cid:durableId="5865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12B4E"/>
    <w:rsid w:val="000B78D1"/>
    <w:rsid w:val="000D24D8"/>
    <w:rsid w:val="00111DD7"/>
    <w:rsid w:val="001323F1"/>
    <w:rsid w:val="0016490E"/>
    <w:rsid w:val="002430F2"/>
    <w:rsid w:val="002A7600"/>
    <w:rsid w:val="00356AB2"/>
    <w:rsid w:val="0057299A"/>
    <w:rsid w:val="007711A5"/>
    <w:rsid w:val="007E17F4"/>
    <w:rsid w:val="00811735"/>
    <w:rsid w:val="00845DBD"/>
    <w:rsid w:val="00886A86"/>
    <w:rsid w:val="00934814"/>
    <w:rsid w:val="00A60F73"/>
    <w:rsid w:val="00B046A7"/>
    <w:rsid w:val="00C45AAD"/>
    <w:rsid w:val="00CE19E7"/>
    <w:rsid w:val="00D43F41"/>
    <w:rsid w:val="00E02C6A"/>
    <w:rsid w:val="00E24E50"/>
    <w:rsid w:val="00E5011F"/>
    <w:rsid w:val="00E5737A"/>
    <w:rsid w:val="00F62152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AF1FC1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012B4E"/>
    <w:rsid w:val="003E43BA"/>
    <w:rsid w:val="005C74A8"/>
    <w:rsid w:val="00AF1FC1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1" ma:contentTypeDescription="Create a new document." ma:contentTypeScope="" ma:versionID="a3572b41043eee498ea26b5560327272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7ea2920d5cc01d2c56d552331b627f81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C129D-4CE9-48BE-BBBA-E009C2F99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ENNEW, Sara (NHS ENGLAND - T1510)</cp:lastModifiedBy>
  <cp:revision>2</cp:revision>
  <dcterms:created xsi:type="dcterms:W3CDTF">2024-10-24T07:41:00Z</dcterms:created>
  <dcterms:modified xsi:type="dcterms:W3CDTF">2024-10-24T07:41:00Z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