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51"/>
        <w:tblW w:w="0" w:type="auto"/>
        <w:tblLook w:val="04A0" w:firstRow="1" w:lastRow="0" w:firstColumn="1" w:lastColumn="0" w:noHBand="0" w:noVBand="1"/>
      </w:tblPr>
      <w:tblGrid>
        <w:gridCol w:w="392"/>
        <w:gridCol w:w="13782"/>
      </w:tblGrid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58400C">
              <w:rPr>
                <w:rFonts w:asciiTheme="minorHAnsi" w:hAnsiTheme="minorHAnsi"/>
              </w:rPr>
              <w:t>1</w:t>
            </w:r>
          </w:p>
        </w:tc>
        <w:tc>
          <w:tcPr>
            <w:tcW w:w="13782" w:type="dxa"/>
          </w:tcPr>
          <w:p w:rsidR="00AF3497" w:rsidRPr="001B0CF0" w:rsidRDefault="004F5774" w:rsidP="004F5774">
            <w:pPr>
              <w:rPr>
                <w:rFonts w:eastAsia="Times New Roman"/>
                <w:b/>
              </w:rPr>
            </w:pPr>
            <w:r w:rsidRPr="001B0CF0">
              <w:rPr>
                <w:rFonts w:eastAsia="Times New Roman"/>
                <w:b/>
              </w:rPr>
              <w:t>All</w:t>
            </w:r>
            <w:r w:rsidR="00AF3497" w:rsidRPr="001B0CF0">
              <w:rPr>
                <w:rFonts w:eastAsia="Times New Roman"/>
                <w:b/>
              </w:rPr>
              <w:t xml:space="preserve"> Trainees should have appropriate </w:t>
            </w:r>
            <w:r w:rsidRPr="001B0CF0">
              <w:rPr>
                <w:rFonts w:eastAsia="Times New Roman"/>
                <w:b/>
              </w:rPr>
              <w:t xml:space="preserve">and </w:t>
            </w:r>
            <w:r w:rsidR="00AF3497" w:rsidRPr="001B0CF0">
              <w:rPr>
                <w:rFonts w:eastAsia="Times New Roman"/>
                <w:b/>
              </w:rPr>
              <w:t>structured induction before they start the OOH training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i/>
              </w:rPr>
            </w:pPr>
            <w:r w:rsidRPr="001B0CF0">
              <w:rPr>
                <w:i/>
              </w:rPr>
              <w:t>This should be no less than for a new OOH GP but can be done in groups.  This is ideally done in induction week for new GP trainees.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r w:rsidRPr="0058400C">
              <w:rPr>
                <w:rFonts w:asciiTheme="minorHAnsi" w:hAnsiTheme="minorHAnsi"/>
              </w:rPr>
              <w:t>2</w:t>
            </w:r>
          </w:p>
        </w:tc>
        <w:tc>
          <w:tcPr>
            <w:tcW w:w="13782" w:type="dxa"/>
          </w:tcPr>
          <w:p w:rsidR="00AF3497" w:rsidRPr="001B0CF0" w:rsidRDefault="00C02B66" w:rsidP="004F5774">
            <w:pPr>
              <w:rPr>
                <w:b/>
              </w:rPr>
            </w:pPr>
            <w:r w:rsidRPr="001B0CF0">
              <w:rPr>
                <w:rFonts w:eastAsia="Times New Roman"/>
                <w:b/>
              </w:rPr>
              <w:t xml:space="preserve">There should be </w:t>
            </w:r>
            <w:r w:rsidR="00AF3497" w:rsidRPr="001B0CF0">
              <w:rPr>
                <w:rFonts w:eastAsia="Times New Roman"/>
                <w:b/>
              </w:rPr>
              <w:t xml:space="preserve">adequate </w:t>
            </w:r>
            <w:r w:rsidRPr="001B0CF0">
              <w:rPr>
                <w:rFonts w:eastAsia="Times New Roman"/>
                <w:b/>
              </w:rPr>
              <w:t xml:space="preserve">provision of </w:t>
            </w:r>
            <w:r w:rsidR="00AF3497" w:rsidRPr="001B0CF0">
              <w:rPr>
                <w:rFonts w:eastAsia="Times New Roman"/>
                <w:b/>
              </w:rPr>
              <w:t>training sessions and Deanery</w:t>
            </w:r>
            <w:r w:rsidR="00B7489D" w:rsidRPr="001B0CF0">
              <w:rPr>
                <w:rFonts w:eastAsia="Times New Roman"/>
                <w:b/>
              </w:rPr>
              <w:t>/ LETB</w:t>
            </w:r>
            <w:r w:rsidR="00AF3497" w:rsidRPr="001B0CF0">
              <w:rPr>
                <w:rFonts w:eastAsia="Times New Roman"/>
                <w:b/>
              </w:rPr>
              <w:t xml:space="preserve"> approved Clinical Supervisors to cover 108 hours training per trainee over their 18 months in GP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9B7E3F" w:rsidP="004F5774">
            <w:pPr>
              <w:rPr>
                <w:i/>
              </w:rPr>
            </w:pPr>
            <w:r w:rsidRPr="001B0CF0">
              <w:rPr>
                <w:i/>
              </w:rPr>
              <w:t>Training and a</w:t>
            </w:r>
            <w:r w:rsidR="00AF3497" w:rsidRPr="001B0CF0">
              <w:rPr>
                <w:i/>
              </w:rPr>
              <w:t xml:space="preserve">pproval of OOH </w:t>
            </w:r>
            <w:r w:rsidRPr="001B0CF0">
              <w:rPr>
                <w:i/>
              </w:rPr>
              <w:t xml:space="preserve">Clinical </w:t>
            </w:r>
            <w:r w:rsidR="00AF3497" w:rsidRPr="001B0CF0">
              <w:rPr>
                <w:i/>
              </w:rPr>
              <w:t xml:space="preserve">Supervisors </w:t>
            </w:r>
            <w:r w:rsidRPr="001B0CF0">
              <w:rPr>
                <w:i/>
              </w:rPr>
              <w:t>could</w:t>
            </w:r>
            <w:r w:rsidR="00AF3497" w:rsidRPr="001B0CF0">
              <w:rPr>
                <w:i/>
              </w:rPr>
              <w:t xml:space="preserve"> target the group who do regular OOH sessions and have accumulated years of practical experience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r w:rsidRPr="0058400C">
              <w:rPr>
                <w:rFonts w:asciiTheme="minorHAnsi" w:hAnsiTheme="minorHAnsi"/>
              </w:rPr>
              <w:t>3</w:t>
            </w:r>
          </w:p>
        </w:tc>
        <w:tc>
          <w:tcPr>
            <w:tcW w:w="13782" w:type="dxa"/>
          </w:tcPr>
          <w:p w:rsidR="00AF3497" w:rsidRPr="001B0CF0" w:rsidRDefault="00AF3497" w:rsidP="00B7489D">
            <w:pPr>
              <w:rPr>
                <w:rFonts w:eastAsia="Times New Roman"/>
                <w:b/>
              </w:rPr>
            </w:pPr>
            <w:r w:rsidRPr="001B0CF0">
              <w:rPr>
                <w:rFonts w:eastAsia="Times New Roman"/>
                <w:b/>
              </w:rPr>
              <w:t xml:space="preserve">The Clinical Supervisors should maintain an up-to-date knowledge and skills in providing clinical and educational care and they should have regular appraisals as per the </w:t>
            </w:r>
            <w:r w:rsidR="00B7489D" w:rsidRPr="001B0CF0">
              <w:rPr>
                <w:rFonts w:eastAsia="Times New Roman"/>
                <w:b/>
              </w:rPr>
              <w:t xml:space="preserve">CCG </w:t>
            </w:r>
            <w:r w:rsidRPr="001B0CF0">
              <w:rPr>
                <w:rFonts w:eastAsia="Times New Roman"/>
                <w:b/>
              </w:rPr>
              <w:t>and the Deane</w:t>
            </w:r>
            <w:r w:rsidR="00C02B66" w:rsidRPr="001B0CF0">
              <w:rPr>
                <w:rFonts w:eastAsia="Times New Roman"/>
                <w:b/>
              </w:rPr>
              <w:t>ry</w:t>
            </w:r>
            <w:r w:rsidR="00B7489D" w:rsidRPr="001B0CF0">
              <w:rPr>
                <w:rFonts w:eastAsia="Times New Roman"/>
                <w:b/>
              </w:rPr>
              <w:t>/LETB</w:t>
            </w:r>
            <w:r w:rsidR="00C02B66" w:rsidRPr="001B0CF0">
              <w:rPr>
                <w:rFonts w:eastAsia="Times New Roman"/>
                <w:b/>
              </w:rPr>
              <w:t xml:space="preserve"> requirements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AF3497" w:rsidP="00F81C5A">
            <w:pPr>
              <w:rPr>
                <w:i/>
              </w:rPr>
            </w:pPr>
            <w:r w:rsidRPr="001B0CF0">
              <w:rPr>
                <w:i/>
              </w:rPr>
              <w:t>This should form part of the annual GP appraisal</w:t>
            </w:r>
            <w:r w:rsidR="00C922FC" w:rsidRPr="001B0CF0">
              <w:rPr>
                <w:i/>
              </w:rPr>
              <w:t>. T</w:t>
            </w:r>
            <w:r w:rsidR="00C02B66" w:rsidRPr="001B0CF0">
              <w:rPr>
                <w:i/>
              </w:rPr>
              <w:t>he Clinical Supervisor</w:t>
            </w:r>
            <w:r w:rsidR="00395187" w:rsidRPr="001B0CF0">
              <w:rPr>
                <w:i/>
              </w:rPr>
              <w:t xml:space="preserve"> should comply with revalidation requirements of getting appraised </w:t>
            </w:r>
            <w:r w:rsidR="0058400C" w:rsidRPr="001B0CF0">
              <w:rPr>
                <w:i/>
              </w:rPr>
              <w:t>on</w:t>
            </w:r>
            <w:r w:rsidR="00C922FC" w:rsidRPr="001B0CF0">
              <w:rPr>
                <w:i/>
              </w:rPr>
              <w:t xml:space="preserve"> all the activities they provide</w:t>
            </w:r>
            <w:r w:rsidR="0058400C" w:rsidRPr="001B0CF0">
              <w:rPr>
                <w:i/>
              </w:rPr>
              <w:t xml:space="preserve"> with patient care</w:t>
            </w:r>
            <w:r w:rsidR="00C922FC" w:rsidRPr="001B0CF0">
              <w:rPr>
                <w:i/>
              </w:rPr>
              <w:t>. We recommend that t</w:t>
            </w:r>
            <w:r w:rsidR="00F81C5A" w:rsidRPr="001B0CF0">
              <w:rPr>
                <w:i/>
              </w:rPr>
              <w:t>he OOH service Provider appoints an E</w:t>
            </w:r>
            <w:r w:rsidR="00C922FC" w:rsidRPr="001B0CF0">
              <w:rPr>
                <w:i/>
              </w:rPr>
              <w:t xml:space="preserve">ducational </w:t>
            </w:r>
            <w:r w:rsidR="00F81C5A" w:rsidRPr="001B0CF0">
              <w:rPr>
                <w:i/>
              </w:rPr>
              <w:t>L</w:t>
            </w:r>
            <w:r w:rsidR="00C922FC" w:rsidRPr="001B0CF0">
              <w:rPr>
                <w:i/>
              </w:rPr>
              <w:t>ead who w</w:t>
            </w:r>
            <w:r w:rsidR="009B7E3F" w:rsidRPr="001B0CF0">
              <w:rPr>
                <w:i/>
              </w:rPr>
              <w:t>ill</w:t>
            </w:r>
            <w:r w:rsidR="00F81C5A" w:rsidRPr="001B0CF0">
              <w:rPr>
                <w:i/>
              </w:rPr>
              <w:t xml:space="preserve"> liaise with clinicians for their educational needs.</w:t>
            </w:r>
            <w:r w:rsidR="009B7E3F" w:rsidRPr="001B0CF0">
              <w:rPr>
                <w:i/>
              </w:rPr>
              <w:t xml:space="preserve"> 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r w:rsidRPr="0058400C">
              <w:rPr>
                <w:rFonts w:asciiTheme="minorHAnsi" w:hAnsiTheme="minorHAnsi"/>
              </w:rPr>
              <w:t>4</w:t>
            </w: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b/>
              </w:rPr>
            </w:pPr>
            <w:r w:rsidRPr="001B0CF0">
              <w:rPr>
                <w:b/>
              </w:rPr>
              <w:t xml:space="preserve">The training session should include </w:t>
            </w:r>
            <w:r w:rsidR="00C922FC" w:rsidRPr="001B0CF0">
              <w:rPr>
                <w:b/>
              </w:rPr>
              <w:t xml:space="preserve">adequate </w:t>
            </w:r>
            <w:r w:rsidRPr="001B0CF0">
              <w:rPr>
                <w:b/>
              </w:rPr>
              <w:t>time for teaching, feedback and documentation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C922FC" w:rsidP="004F5774">
            <w:pPr>
              <w:rPr>
                <w:i/>
              </w:rPr>
            </w:pPr>
            <w:r w:rsidRPr="001B0CF0">
              <w:rPr>
                <w:i/>
              </w:rPr>
              <w:t xml:space="preserve">Clinical Supervisors could be paid a premium rate for their commitment. This would attract more CS to be engaged with OOH Training.  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r w:rsidRPr="0058400C">
              <w:rPr>
                <w:rFonts w:asciiTheme="minorHAnsi" w:hAnsiTheme="minorHAnsi"/>
              </w:rPr>
              <w:t>5</w:t>
            </w: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rFonts w:eastAsia="Times New Roman"/>
                <w:b/>
              </w:rPr>
            </w:pPr>
            <w:r w:rsidRPr="001B0CF0">
              <w:rPr>
                <w:rFonts w:eastAsia="Times New Roman"/>
                <w:b/>
              </w:rPr>
              <w:t>Compliance with annual Deanery</w:t>
            </w:r>
            <w:r w:rsidR="00B7489D" w:rsidRPr="001B0CF0">
              <w:rPr>
                <w:rFonts w:eastAsia="Times New Roman"/>
                <w:b/>
              </w:rPr>
              <w:t>/ LETB</w:t>
            </w:r>
            <w:r w:rsidRPr="001B0CF0">
              <w:rPr>
                <w:rFonts w:eastAsia="Times New Roman"/>
                <w:b/>
              </w:rPr>
              <w:t xml:space="preserve"> monitoring visit recommendation 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AF3497" w:rsidP="00B7489D">
            <w:pPr>
              <w:rPr>
                <w:i/>
              </w:rPr>
            </w:pPr>
            <w:r w:rsidRPr="001B0CF0">
              <w:rPr>
                <w:i/>
              </w:rPr>
              <w:t>The Deanery</w:t>
            </w:r>
            <w:r w:rsidR="00B7489D" w:rsidRPr="001B0CF0">
              <w:rPr>
                <w:i/>
              </w:rPr>
              <w:t>/ LETB</w:t>
            </w:r>
            <w:r w:rsidRPr="001B0CF0">
              <w:rPr>
                <w:i/>
              </w:rPr>
              <w:t xml:space="preserve"> visit should coincide with the </w:t>
            </w:r>
            <w:r w:rsidR="00B7489D" w:rsidRPr="001B0CF0">
              <w:rPr>
                <w:i/>
              </w:rPr>
              <w:t xml:space="preserve">CCG </w:t>
            </w:r>
            <w:r w:rsidRPr="001B0CF0">
              <w:rPr>
                <w:i/>
              </w:rPr>
              <w:t xml:space="preserve">assessment visit so that recommendations are dovetailed into one action plan.  </w:t>
            </w:r>
            <w:r w:rsidR="00C922FC" w:rsidRPr="001B0CF0">
              <w:rPr>
                <w:i/>
              </w:rPr>
              <w:t>This will reduce unnecessary duplication of approval visits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r w:rsidRPr="0058400C">
              <w:rPr>
                <w:rFonts w:asciiTheme="minorHAnsi" w:hAnsiTheme="minorHAnsi"/>
              </w:rPr>
              <w:t>6</w:t>
            </w: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rFonts w:eastAsia="Times New Roman"/>
                <w:b/>
              </w:rPr>
            </w:pPr>
            <w:r w:rsidRPr="001B0CF0">
              <w:rPr>
                <w:rFonts w:eastAsia="Times New Roman"/>
                <w:b/>
              </w:rPr>
              <w:t xml:space="preserve">Training should be in accordance with COGPED recommendation 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C922FC" w:rsidP="004F5774">
            <w:pPr>
              <w:rPr>
                <w:i/>
              </w:rPr>
            </w:pPr>
            <w:r w:rsidRPr="001B0CF0">
              <w:rPr>
                <w:i/>
              </w:rPr>
              <w:t xml:space="preserve">The COGPED </w:t>
            </w:r>
            <w:r w:rsidR="0058400C" w:rsidRPr="001B0CF0">
              <w:rPr>
                <w:i/>
              </w:rPr>
              <w:t>position paper for OOH training</w:t>
            </w:r>
            <w:r w:rsidRPr="001B0CF0">
              <w:rPr>
                <w:i/>
              </w:rPr>
              <w:t xml:space="preserve"> </w:t>
            </w:r>
            <w:r w:rsidR="0058400C" w:rsidRPr="001B0CF0">
              <w:rPr>
                <w:i/>
              </w:rPr>
              <w:t>includes the</w:t>
            </w:r>
            <w:r w:rsidR="009B7E3F" w:rsidRPr="001B0CF0">
              <w:rPr>
                <w:i/>
              </w:rPr>
              <w:t xml:space="preserve"> </w:t>
            </w:r>
            <w:proofErr w:type="spellStart"/>
            <w:r w:rsidR="009B7E3F" w:rsidRPr="001B0CF0">
              <w:rPr>
                <w:i/>
              </w:rPr>
              <w:t>DoH</w:t>
            </w:r>
            <w:proofErr w:type="spellEnd"/>
            <w:r w:rsidR="009B7E3F" w:rsidRPr="001B0CF0">
              <w:rPr>
                <w:i/>
              </w:rPr>
              <w:t xml:space="preserve"> &amp; RCGP recommendations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r w:rsidRPr="0058400C">
              <w:rPr>
                <w:rFonts w:asciiTheme="minorHAnsi" w:hAnsiTheme="minorHAnsi"/>
              </w:rPr>
              <w:t>7</w:t>
            </w: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rFonts w:eastAsia="Times New Roman"/>
                <w:b/>
              </w:rPr>
            </w:pPr>
            <w:r w:rsidRPr="001B0CF0">
              <w:rPr>
                <w:rFonts w:eastAsia="Times New Roman"/>
                <w:b/>
              </w:rPr>
              <w:t xml:space="preserve">Compliance with all employment legislation, in particular the working time directive 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i/>
              </w:rPr>
            </w:pPr>
            <w:r w:rsidRPr="001B0CF0">
              <w:rPr>
                <w:i/>
              </w:rPr>
              <w:t xml:space="preserve">This is </w:t>
            </w:r>
            <w:r w:rsidR="009B7E3F" w:rsidRPr="001B0CF0">
              <w:rPr>
                <w:i/>
              </w:rPr>
              <w:t>mainly</w:t>
            </w:r>
            <w:r w:rsidRPr="001B0CF0">
              <w:rPr>
                <w:i/>
              </w:rPr>
              <w:t xml:space="preserve"> for the GP Trainer to monitor as they have a broader view of the trainees’ working </w:t>
            </w:r>
            <w:r w:rsidR="0058400C" w:rsidRPr="001B0CF0">
              <w:rPr>
                <w:i/>
              </w:rPr>
              <w:t>patterns;</w:t>
            </w:r>
            <w:r w:rsidR="009B7E3F" w:rsidRPr="001B0CF0">
              <w:rPr>
                <w:i/>
              </w:rPr>
              <w:t xml:space="preserve"> however the OOH Provider has a duty to include in their contract with the learner and should monitor the recommendations.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58400C" w:rsidP="004F5774">
            <w:pPr>
              <w:rPr>
                <w:rFonts w:asciiTheme="minorHAnsi" w:hAnsiTheme="minorHAnsi"/>
              </w:rPr>
            </w:pPr>
            <w:r w:rsidRPr="0058400C">
              <w:rPr>
                <w:rFonts w:asciiTheme="minorHAnsi" w:hAnsiTheme="minorHAnsi"/>
              </w:rPr>
              <w:t>8</w:t>
            </w: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rFonts w:eastAsia="Times New Roman"/>
                <w:b/>
              </w:rPr>
            </w:pPr>
            <w:r w:rsidRPr="001B0CF0">
              <w:rPr>
                <w:rFonts w:eastAsia="Times New Roman"/>
                <w:b/>
              </w:rPr>
              <w:t>Regular engagement with local GP Trainer Groups and the EoE Deanery</w:t>
            </w:r>
            <w:r w:rsidR="00B7489D" w:rsidRPr="001B0CF0">
              <w:rPr>
                <w:rFonts w:eastAsia="Times New Roman"/>
                <w:b/>
              </w:rPr>
              <w:t>/LETB</w:t>
            </w:r>
            <w:r w:rsidRPr="001B0CF0">
              <w:rPr>
                <w:rFonts w:eastAsia="Times New Roman"/>
                <w:b/>
              </w:rPr>
              <w:t xml:space="preserve"> </w:t>
            </w:r>
          </w:p>
        </w:tc>
      </w:tr>
      <w:tr w:rsidR="00AF3497" w:rsidRPr="001B0CF0" w:rsidTr="004F5774">
        <w:tc>
          <w:tcPr>
            <w:tcW w:w="392" w:type="dxa"/>
          </w:tcPr>
          <w:p w:rsidR="00AF3497" w:rsidRPr="0058400C" w:rsidRDefault="00AF3497" w:rsidP="004F5774">
            <w:pPr>
              <w:rPr>
                <w:rFonts w:asciiTheme="minorHAnsi" w:hAnsiTheme="minorHAnsi"/>
              </w:rPr>
            </w:pPr>
          </w:p>
        </w:tc>
        <w:tc>
          <w:tcPr>
            <w:tcW w:w="13782" w:type="dxa"/>
          </w:tcPr>
          <w:p w:rsidR="00AF3497" w:rsidRPr="001B0CF0" w:rsidRDefault="00AF3497" w:rsidP="004F5774">
            <w:pPr>
              <w:rPr>
                <w:i/>
              </w:rPr>
            </w:pPr>
            <w:r w:rsidRPr="001B0CF0">
              <w:rPr>
                <w:i/>
              </w:rPr>
              <w:t xml:space="preserve">It should be mandatory that the OOH provider </w:t>
            </w:r>
            <w:r w:rsidR="0058400C" w:rsidRPr="001B0CF0">
              <w:rPr>
                <w:i/>
              </w:rPr>
              <w:t>is invited to the trainer’s groups at-least</w:t>
            </w:r>
            <w:r w:rsidR="009B7E3F" w:rsidRPr="001B0CF0">
              <w:rPr>
                <w:i/>
              </w:rPr>
              <w:t xml:space="preserve"> annually to discuss OOH training. This engagement might also encourage the</w:t>
            </w:r>
            <w:r w:rsidRPr="001B0CF0">
              <w:rPr>
                <w:i/>
              </w:rPr>
              <w:t xml:space="preserve"> GP Trainers </w:t>
            </w:r>
            <w:r w:rsidR="009B7E3F" w:rsidRPr="001B0CF0">
              <w:rPr>
                <w:i/>
              </w:rPr>
              <w:t xml:space="preserve">to </w:t>
            </w:r>
            <w:r w:rsidRPr="001B0CF0">
              <w:rPr>
                <w:i/>
              </w:rPr>
              <w:t>do OOH shifts themselves to maintain credibility and act as suitable role models.</w:t>
            </w:r>
          </w:p>
        </w:tc>
      </w:tr>
    </w:tbl>
    <w:p w:rsidR="00302F32" w:rsidRPr="004F5774" w:rsidRDefault="001B0CF0" w:rsidP="004F577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A62CFA" wp14:editId="11184C5D">
            <wp:simplePos x="0" y="0"/>
            <wp:positionH relativeFrom="column">
              <wp:posOffset>7416800</wp:posOffset>
            </wp:positionH>
            <wp:positionV relativeFrom="paragraph">
              <wp:posOffset>-354965</wp:posOffset>
            </wp:positionV>
            <wp:extent cx="1534160" cy="486410"/>
            <wp:effectExtent l="0" t="0" r="8890" b="8890"/>
            <wp:wrapTight wrapText="bothSides">
              <wp:wrapPolygon edited="0">
                <wp:start x="0" y="0"/>
                <wp:lineTo x="0" y="21149"/>
                <wp:lineTo x="21457" y="21149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774" w:rsidRPr="004F5774">
        <w:rPr>
          <w:b/>
        </w:rPr>
        <w:t>OOH Training for GP Trainee – Guidance for Commissioner/ Provider contract</w:t>
      </w:r>
    </w:p>
    <w:sectPr w:rsidR="00302F32" w:rsidRPr="004F5774" w:rsidSect="00AF34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FB" w:rsidRDefault="008B22FB" w:rsidP="004F5774">
      <w:r>
        <w:separator/>
      </w:r>
    </w:p>
  </w:endnote>
  <w:endnote w:type="continuationSeparator" w:id="0">
    <w:p w:rsidR="008B22FB" w:rsidRDefault="008B22FB" w:rsidP="004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FB" w:rsidRDefault="008B22FB" w:rsidP="004F5774">
      <w:r>
        <w:separator/>
      </w:r>
    </w:p>
  </w:footnote>
  <w:footnote w:type="continuationSeparator" w:id="0">
    <w:p w:rsidR="008B22FB" w:rsidRDefault="008B22FB" w:rsidP="004F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BCE"/>
    <w:multiLevelType w:val="multilevel"/>
    <w:tmpl w:val="6DB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27615"/>
    <w:multiLevelType w:val="multilevel"/>
    <w:tmpl w:val="CB6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22D55"/>
    <w:multiLevelType w:val="multilevel"/>
    <w:tmpl w:val="85D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1267"/>
    <w:multiLevelType w:val="multilevel"/>
    <w:tmpl w:val="555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6574A"/>
    <w:multiLevelType w:val="multilevel"/>
    <w:tmpl w:val="083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80134"/>
    <w:multiLevelType w:val="multilevel"/>
    <w:tmpl w:val="8E2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7"/>
    <w:rsid w:val="00050EA6"/>
    <w:rsid w:val="001B0CF0"/>
    <w:rsid w:val="00302F32"/>
    <w:rsid w:val="00395187"/>
    <w:rsid w:val="004F5774"/>
    <w:rsid w:val="0058400C"/>
    <w:rsid w:val="00743567"/>
    <w:rsid w:val="008B22FB"/>
    <w:rsid w:val="00900D46"/>
    <w:rsid w:val="009B7E3F"/>
    <w:rsid w:val="00AF3497"/>
    <w:rsid w:val="00B7489D"/>
    <w:rsid w:val="00C02B66"/>
    <w:rsid w:val="00C87141"/>
    <w:rsid w:val="00C922FC"/>
    <w:rsid w:val="00CC2A13"/>
    <w:rsid w:val="00DB1D46"/>
    <w:rsid w:val="00F81C5A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97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74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74"/>
    <w:rPr>
      <w:rFonts w:ascii="Arial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9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97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74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74"/>
    <w:rPr>
      <w:rFonts w:ascii="Arial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9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KRadhakrishnan</dc:creator>
  <cp:lastModifiedBy>Mark Baldwin</cp:lastModifiedBy>
  <cp:revision>2</cp:revision>
  <dcterms:created xsi:type="dcterms:W3CDTF">2014-04-09T12:23:00Z</dcterms:created>
  <dcterms:modified xsi:type="dcterms:W3CDTF">2014-04-09T12:23:00Z</dcterms:modified>
</cp:coreProperties>
</file>