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68A23092" w:rsidR="002430F2" w:rsidRPr="00356AB2" w:rsidRDefault="00C9491D" w:rsidP="00111DD7">
            <w:pPr>
              <w:rPr>
                <w:rFonts w:ascii="Arial" w:hAnsi="Arial"/>
                <w:sz w:val="22"/>
                <w:szCs w:val="22"/>
                <w:lang w:eastAsia="en-US"/>
              </w:rPr>
            </w:pPr>
            <w:r>
              <w:rPr>
                <w:rFonts w:ascii="Arial" w:hAnsi="Arial"/>
                <w:sz w:val="22"/>
                <w:szCs w:val="22"/>
                <w:lang w:eastAsia="en-US"/>
              </w:rPr>
              <w:t>Primary Care Advanced Practice</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5B228FD1" w:rsidR="002430F2" w:rsidRPr="00356AB2" w:rsidRDefault="00C9491D" w:rsidP="00111DD7">
            <w:pPr>
              <w:rPr>
                <w:rFonts w:ascii="Arial" w:hAnsi="Arial"/>
                <w:sz w:val="22"/>
                <w:szCs w:val="22"/>
                <w:lang w:eastAsia="en-US"/>
              </w:rPr>
            </w:pPr>
            <w:r>
              <w:rPr>
                <w:rFonts w:ascii="Arial" w:hAnsi="Arial"/>
                <w:sz w:val="22"/>
                <w:szCs w:val="22"/>
                <w:lang w:eastAsia="en-US"/>
              </w:rPr>
              <w:t xml:space="preserve">Kim </w:t>
            </w:r>
            <w:proofErr w:type="spellStart"/>
            <w:r>
              <w:rPr>
                <w:rFonts w:ascii="Arial" w:hAnsi="Arial"/>
                <w:sz w:val="22"/>
                <w:szCs w:val="22"/>
                <w:lang w:eastAsia="en-US"/>
              </w:rPr>
              <w:t>Treverton</w:t>
            </w:r>
            <w:proofErr w:type="spellEnd"/>
            <w:r>
              <w:rPr>
                <w:rFonts w:ascii="Arial" w:hAnsi="Arial"/>
                <w:sz w:val="22"/>
                <w:szCs w:val="22"/>
                <w:lang w:eastAsia="en-US"/>
              </w:rPr>
              <w:t>, PC AP TPD</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3B42D55F" w:rsidR="00C45AAD" w:rsidRPr="00356AB2" w:rsidRDefault="00A8774B" w:rsidP="00C45AAD">
                <w:pPr>
                  <w:rPr>
                    <w:rFonts w:ascii="Arial" w:hAnsi="Arial"/>
                    <w:sz w:val="22"/>
                    <w:szCs w:val="22"/>
                    <w:lang w:eastAsia="en-US"/>
                  </w:rPr>
                </w:pPr>
                <w:r>
                  <w:rPr>
                    <w:rFonts w:ascii="Arial" w:hAnsi="Arial"/>
                    <w:sz w:val="22"/>
                    <w:szCs w:val="22"/>
                    <w:lang w:eastAsia="en-US"/>
                  </w:rPr>
                  <w:t>System Involvement</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50955FC8" w:rsidR="00C45AAD" w:rsidRPr="00356AB2" w:rsidRDefault="00C9491D" w:rsidP="00C45AAD">
            <w:pPr>
              <w:rPr>
                <w:rFonts w:ascii="Arial" w:hAnsi="Arial"/>
                <w:sz w:val="22"/>
                <w:szCs w:val="22"/>
                <w:lang w:eastAsia="en-US"/>
              </w:rPr>
            </w:pPr>
            <w:r>
              <w:rPr>
                <w:rFonts w:ascii="Arial" w:hAnsi="Arial"/>
                <w:sz w:val="22"/>
                <w:szCs w:val="22"/>
                <w:lang w:eastAsia="en-US"/>
              </w:rPr>
              <w:t>31 October 2024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3816442E" w14:textId="77777777" w:rsidR="004A7D30" w:rsidRPr="00E167A0" w:rsidRDefault="004A7D30" w:rsidP="00E167A0">
            <w:pPr>
              <w:pStyle w:val="ListParagraph"/>
              <w:numPr>
                <w:ilvl w:val="0"/>
                <w:numId w:val="7"/>
              </w:numPr>
              <w:rPr>
                <w:rFonts w:ascii="Arial" w:hAnsi="Arial"/>
                <w:sz w:val="22"/>
                <w:szCs w:val="22"/>
                <w:lang w:eastAsia="en-US"/>
              </w:rPr>
            </w:pPr>
            <w:r w:rsidRPr="00E167A0">
              <w:rPr>
                <w:rFonts w:ascii="Arial" w:hAnsi="Arial"/>
                <w:sz w:val="22"/>
                <w:szCs w:val="22"/>
                <w:lang w:eastAsia="en-US"/>
              </w:rPr>
              <w:t>Supervisor/Educator training programme</w:t>
            </w:r>
          </w:p>
          <w:p w14:paraId="13A78E9D" w14:textId="77777777" w:rsidR="004A7D30" w:rsidRDefault="004A7D30" w:rsidP="00E167A0">
            <w:pPr>
              <w:pStyle w:val="ListParagraph"/>
              <w:numPr>
                <w:ilvl w:val="0"/>
                <w:numId w:val="7"/>
              </w:numPr>
              <w:rPr>
                <w:rFonts w:ascii="Arial" w:hAnsi="Arial"/>
                <w:sz w:val="22"/>
                <w:szCs w:val="22"/>
                <w:lang w:eastAsia="en-US"/>
              </w:rPr>
            </w:pPr>
            <w:r w:rsidRPr="00E167A0">
              <w:rPr>
                <w:rFonts w:ascii="Arial" w:hAnsi="Arial"/>
                <w:sz w:val="22"/>
                <w:szCs w:val="22"/>
                <w:lang w:eastAsia="en-US"/>
              </w:rPr>
              <w:t>PC advanced practice forum (monthly)</w:t>
            </w:r>
          </w:p>
          <w:p w14:paraId="58DC269A" w14:textId="59C274E0" w:rsidR="00E167A0" w:rsidRPr="00E167A0" w:rsidRDefault="00E167A0" w:rsidP="00E167A0">
            <w:pPr>
              <w:pStyle w:val="ListParagraph"/>
              <w:numPr>
                <w:ilvl w:val="0"/>
                <w:numId w:val="7"/>
              </w:numPr>
              <w:rPr>
                <w:rFonts w:ascii="Arial" w:hAnsi="Arial"/>
                <w:sz w:val="22"/>
                <w:szCs w:val="22"/>
                <w:lang w:eastAsia="en-US"/>
              </w:rPr>
            </w:pPr>
            <w:r>
              <w:rPr>
                <w:rFonts w:ascii="Arial" w:hAnsi="Arial"/>
                <w:sz w:val="22"/>
                <w:szCs w:val="22"/>
                <w:lang w:eastAsia="en-US"/>
              </w:rPr>
              <w:t>6 weekly TH leads meeting</w:t>
            </w:r>
          </w:p>
          <w:p w14:paraId="6F08539D" w14:textId="77777777" w:rsidR="00D33473" w:rsidRDefault="00D33473" w:rsidP="00D33473">
            <w:pPr>
              <w:pStyle w:val="ListParagraph"/>
              <w:numPr>
                <w:ilvl w:val="0"/>
                <w:numId w:val="7"/>
              </w:numPr>
              <w:rPr>
                <w:rFonts w:ascii="Arial" w:hAnsi="Arial"/>
                <w:sz w:val="22"/>
                <w:szCs w:val="22"/>
                <w:lang w:eastAsia="en-US"/>
              </w:rPr>
            </w:pPr>
            <w:r w:rsidRPr="00E167A0">
              <w:rPr>
                <w:rFonts w:ascii="Arial" w:hAnsi="Arial"/>
                <w:sz w:val="22"/>
                <w:szCs w:val="22"/>
                <w:lang w:eastAsia="en-US"/>
              </w:rPr>
              <w:t>Attendance at PCS Board and THOB meetings</w:t>
            </w:r>
          </w:p>
          <w:p w14:paraId="1E16EB90" w14:textId="77777777" w:rsidR="004A7D30" w:rsidRPr="00E167A0" w:rsidRDefault="004A7D30" w:rsidP="00E167A0">
            <w:pPr>
              <w:pStyle w:val="ListParagraph"/>
              <w:numPr>
                <w:ilvl w:val="0"/>
                <w:numId w:val="7"/>
              </w:numPr>
              <w:rPr>
                <w:rFonts w:ascii="Arial" w:hAnsi="Arial"/>
                <w:sz w:val="22"/>
                <w:szCs w:val="22"/>
                <w:lang w:eastAsia="en-US"/>
              </w:rPr>
            </w:pPr>
            <w:r w:rsidRPr="00E167A0">
              <w:rPr>
                <w:rFonts w:ascii="Arial" w:hAnsi="Arial"/>
                <w:sz w:val="22"/>
                <w:szCs w:val="22"/>
                <w:lang w:eastAsia="en-US"/>
              </w:rPr>
              <w:t>Cross-regional Primary Care TPD network (quarterly)</w:t>
            </w:r>
          </w:p>
          <w:p w14:paraId="63275C5D" w14:textId="3A9A53DC" w:rsidR="00C45AAD" w:rsidRDefault="004A7D30" w:rsidP="00E167A0">
            <w:pPr>
              <w:pStyle w:val="ListParagraph"/>
              <w:numPr>
                <w:ilvl w:val="0"/>
                <w:numId w:val="7"/>
              </w:numPr>
              <w:rPr>
                <w:rFonts w:ascii="Arial" w:hAnsi="Arial"/>
                <w:sz w:val="22"/>
                <w:szCs w:val="22"/>
                <w:lang w:eastAsia="en-US"/>
              </w:rPr>
            </w:pPr>
            <w:r w:rsidRPr="00E167A0">
              <w:rPr>
                <w:rFonts w:ascii="Arial" w:hAnsi="Arial"/>
                <w:sz w:val="22"/>
                <w:szCs w:val="22"/>
                <w:lang w:eastAsia="en-US"/>
              </w:rPr>
              <w:t>Regular engagement with PC quality team as well as national quality team</w:t>
            </w:r>
          </w:p>
          <w:p w14:paraId="2C5FA8A2" w14:textId="36898AD3" w:rsidR="00D9126F" w:rsidRDefault="00E167A0" w:rsidP="0004253A">
            <w:pPr>
              <w:pStyle w:val="ListParagraph"/>
              <w:numPr>
                <w:ilvl w:val="0"/>
                <w:numId w:val="7"/>
              </w:numPr>
              <w:rPr>
                <w:rFonts w:ascii="Arial" w:hAnsi="Arial"/>
                <w:sz w:val="22"/>
                <w:szCs w:val="22"/>
                <w:lang w:eastAsia="en-US"/>
              </w:rPr>
            </w:pPr>
            <w:r w:rsidRPr="00D33473">
              <w:rPr>
                <w:rFonts w:ascii="Arial" w:hAnsi="Arial"/>
                <w:sz w:val="22"/>
                <w:szCs w:val="22"/>
                <w:lang w:eastAsia="en-US"/>
              </w:rPr>
              <w:t>Regular linking in with Regional Primary Care Nursing Workforce Educator Lead</w:t>
            </w:r>
          </w:p>
          <w:p w14:paraId="7F5CE489" w14:textId="55AEF889" w:rsidR="00AF622F" w:rsidRDefault="00AF622F" w:rsidP="0004253A">
            <w:pPr>
              <w:pStyle w:val="ListParagraph"/>
              <w:numPr>
                <w:ilvl w:val="0"/>
                <w:numId w:val="7"/>
              </w:numPr>
              <w:rPr>
                <w:rFonts w:ascii="Arial" w:hAnsi="Arial"/>
                <w:sz w:val="22"/>
                <w:szCs w:val="22"/>
                <w:lang w:eastAsia="en-US"/>
              </w:rPr>
            </w:pPr>
            <w:r>
              <w:rPr>
                <w:rFonts w:ascii="Arial" w:hAnsi="Arial"/>
                <w:sz w:val="22"/>
                <w:szCs w:val="22"/>
                <w:lang w:eastAsia="en-US"/>
              </w:rPr>
              <w:t xml:space="preserve">Quarterly </w:t>
            </w:r>
            <w:r w:rsidR="003D3D45">
              <w:rPr>
                <w:rFonts w:ascii="Arial" w:hAnsi="Arial"/>
                <w:sz w:val="22"/>
                <w:szCs w:val="22"/>
                <w:lang w:eastAsia="en-US"/>
              </w:rPr>
              <w:t>TH Advanced Practice lead 1:1s</w:t>
            </w:r>
          </w:p>
          <w:p w14:paraId="76D95270" w14:textId="06AADD91" w:rsidR="00D33473" w:rsidRPr="00231BDE" w:rsidRDefault="00451ABF" w:rsidP="00D33473">
            <w:pPr>
              <w:pStyle w:val="ListParagraph"/>
              <w:numPr>
                <w:ilvl w:val="0"/>
                <w:numId w:val="7"/>
              </w:numPr>
              <w:rPr>
                <w:rFonts w:ascii="Arial" w:hAnsi="Arial"/>
                <w:sz w:val="22"/>
                <w:szCs w:val="22"/>
                <w:lang w:eastAsia="en-US"/>
              </w:rPr>
            </w:pPr>
            <w:r w:rsidRPr="00231BDE">
              <w:rPr>
                <w:rFonts w:ascii="Arial" w:hAnsi="Arial"/>
                <w:sz w:val="22"/>
                <w:szCs w:val="22"/>
                <w:lang w:eastAsia="en-US"/>
              </w:rPr>
              <w:t xml:space="preserve">Quarterly PC reports to Regional </w:t>
            </w:r>
            <w:r w:rsidR="00231BDE" w:rsidRPr="00231BDE">
              <w:rPr>
                <w:rFonts w:ascii="Arial" w:hAnsi="Arial"/>
                <w:sz w:val="22"/>
                <w:szCs w:val="22"/>
                <w:lang w:eastAsia="en-US"/>
              </w:rPr>
              <w:t>Advanced Practice Lead</w:t>
            </w:r>
          </w:p>
          <w:p w14:paraId="4FFBD0A9" w14:textId="77777777" w:rsidR="00D33473" w:rsidRDefault="00D33473" w:rsidP="00D33473">
            <w:pPr>
              <w:rPr>
                <w:rFonts w:ascii="Arial" w:hAnsi="Arial"/>
                <w:sz w:val="22"/>
                <w:szCs w:val="22"/>
                <w:lang w:eastAsia="en-US"/>
              </w:rPr>
            </w:pPr>
          </w:p>
          <w:p w14:paraId="77024B0C" w14:textId="77777777" w:rsidR="00826FF7" w:rsidRDefault="00826FF7" w:rsidP="00D33473">
            <w:pPr>
              <w:rPr>
                <w:rFonts w:ascii="Arial" w:hAnsi="Arial"/>
                <w:sz w:val="22"/>
                <w:szCs w:val="22"/>
                <w:lang w:eastAsia="en-US"/>
              </w:rPr>
            </w:pPr>
          </w:p>
          <w:p w14:paraId="0B103422" w14:textId="77777777" w:rsidR="00D33473" w:rsidRDefault="00D33473" w:rsidP="00D33473">
            <w:pPr>
              <w:rPr>
                <w:rFonts w:ascii="Arial" w:hAnsi="Arial"/>
                <w:sz w:val="22"/>
                <w:szCs w:val="22"/>
                <w:lang w:eastAsia="en-US"/>
              </w:rPr>
            </w:pPr>
          </w:p>
          <w:p w14:paraId="05BFD6C1" w14:textId="77777777" w:rsidR="00D33473" w:rsidRDefault="00D33473" w:rsidP="00D33473">
            <w:pPr>
              <w:rPr>
                <w:rFonts w:ascii="Arial" w:hAnsi="Arial"/>
                <w:sz w:val="22"/>
                <w:szCs w:val="22"/>
                <w:lang w:eastAsia="en-US"/>
              </w:rPr>
            </w:pPr>
          </w:p>
          <w:p w14:paraId="748AA642" w14:textId="77777777" w:rsidR="00D33473" w:rsidRDefault="00D33473" w:rsidP="00D33473">
            <w:pPr>
              <w:rPr>
                <w:rFonts w:ascii="Arial" w:hAnsi="Arial"/>
                <w:sz w:val="22"/>
                <w:szCs w:val="22"/>
                <w:lang w:eastAsia="en-US"/>
              </w:rPr>
            </w:pPr>
          </w:p>
          <w:p w14:paraId="0F1A06DF" w14:textId="77777777" w:rsidR="00D33473" w:rsidRDefault="00D33473" w:rsidP="00D33473">
            <w:pPr>
              <w:rPr>
                <w:rFonts w:ascii="Arial" w:hAnsi="Arial"/>
                <w:sz w:val="22"/>
                <w:szCs w:val="22"/>
                <w:lang w:eastAsia="en-US"/>
              </w:rPr>
            </w:pPr>
          </w:p>
          <w:p w14:paraId="19AAE5C4" w14:textId="69B101C3" w:rsidR="00D33473" w:rsidRPr="00D33473" w:rsidRDefault="00D33473" w:rsidP="00D33473">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661FA1CD" w14:textId="34FC4397" w:rsidR="00C45AAD" w:rsidRPr="00D33473" w:rsidRDefault="00E167A0" w:rsidP="00E50EEA">
            <w:pPr>
              <w:pStyle w:val="ListParagraph"/>
              <w:numPr>
                <w:ilvl w:val="0"/>
                <w:numId w:val="8"/>
              </w:numPr>
              <w:rPr>
                <w:rFonts w:ascii="Arial" w:hAnsi="Arial"/>
                <w:sz w:val="22"/>
                <w:szCs w:val="22"/>
                <w:lang w:eastAsia="en-US"/>
              </w:rPr>
            </w:pPr>
            <w:r w:rsidRPr="00D33473">
              <w:rPr>
                <w:rFonts w:ascii="Arial" w:hAnsi="Arial"/>
                <w:sz w:val="22"/>
                <w:szCs w:val="22"/>
                <w:lang w:eastAsia="en-US"/>
              </w:rPr>
              <w:t>Supervisor Training Programme: estimated availability-Jan 2025</w:t>
            </w:r>
          </w:p>
          <w:p w14:paraId="5327C943" w14:textId="2DF44C72" w:rsidR="00D33473" w:rsidRPr="00D33473" w:rsidRDefault="00E167A0" w:rsidP="00E50EEA">
            <w:pPr>
              <w:pStyle w:val="ListParagraph"/>
              <w:numPr>
                <w:ilvl w:val="0"/>
                <w:numId w:val="8"/>
              </w:numPr>
              <w:rPr>
                <w:rFonts w:ascii="Arial" w:hAnsi="Arial"/>
                <w:sz w:val="22"/>
                <w:szCs w:val="22"/>
                <w:lang w:eastAsia="en-US"/>
              </w:rPr>
            </w:pPr>
            <w:r w:rsidRPr="00D33473">
              <w:rPr>
                <w:rFonts w:ascii="Arial" w:hAnsi="Arial"/>
                <w:sz w:val="22"/>
                <w:szCs w:val="22"/>
                <w:lang w:eastAsia="en-US"/>
              </w:rPr>
              <w:t xml:space="preserve">Big push for NETS, especially in Primary Care as response was </w:t>
            </w:r>
            <w:r w:rsidR="00D33473" w:rsidRPr="00D33473">
              <w:rPr>
                <w:rFonts w:ascii="Arial" w:hAnsi="Arial"/>
                <w:sz w:val="22"/>
                <w:szCs w:val="22"/>
                <w:lang w:eastAsia="en-US"/>
              </w:rPr>
              <w:t>lagging</w:t>
            </w:r>
            <w:r w:rsidRPr="00D33473">
              <w:rPr>
                <w:rFonts w:ascii="Arial" w:hAnsi="Arial"/>
                <w:sz w:val="22"/>
                <w:szCs w:val="22"/>
                <w:lang w:eastAsia="en-US"/>
              </w:rPr>
              <w:t xml:space="preserve"> </w:t>
            </w:r>
            <w:r w:rsidR="00D33473">
              <w:rPr>
                <w:rFonts w:ascii="Arial" w:hAnsi="Arial"/>
                <w:sz w:val="22"/>
                <w:szCs w:val="22"/>
                <w:lang w:eastAsia="en-US"/>
              </w:rPr>
              <w:t xml:space="preserve">behind </w:t>
            </w:r>
            <w:r w:rsidRPr="00D33473">
              <w:rPr>
                <w:rFonts w:ascii="Arial" w:hAnsi="Arial"/>
                <w:sz w:val="22"/>
                <w:szCs w:val="22"/>
                <w:lang w:eastAsia="en-US"/>
              </w:rPr>
              <w:t>Secondary Care last year. 5 New advanced practice-specific questions for NETS 2024</w:t>
            </w:r>
          </w:p>
          <w:p w14:paraId="4DED31B6" w14:textId="77777777" w:rsidR="00D33473" w:rsidRPr="00D33473" w:rsidRDefault="00D33473" w:rsidP="00E50EEA">
            <w:pPr>
              <w:pStyle w:val="ListParagraph"/>
              <w:numPr>
                <w:ilvl w:val="0"/>
                <w:numId w:val="8"/>
              </w:numPr>
              <w:rPr>
                <w:rFonts w:ascii="Arial" w:hAnsi="Arial"/>
                <w:sz w:val="22"/>
                <w:szCs w:val="22"/>
                <w:lang w:eastAsia="en-US"/>
              </w:rPr>
            </w:pPr>
            <w:r w:rsidRPr="00D33473">
              <w:rPr>
                <w:rFonts w:ascii="Arial" w:hAnsi="Arial"/>
                <w:sz w:val="22"/>
                <w:szCs w:val="22"/>
                <w:lang w:eastAsia="en-US"/>
              </w:rPr>
              <w:t>Organised joint NHSE and HEI trainee induction day Sept 2024</w:t>
            </w:r>
          </w:p>
          <w:p w14:paraId="30233EAA" w14:textId="6FB822FE" w:rsidR="00D33473" w:rsidRPr="00D33473" w:rsidRDefault="00D33473" w:rsidP="00E50EEA">
            <w:pPr>
              <w:pStyle w:val="ListParagraph"/>
              <w:numPr>
                <w:ilvl w:val="0"/>
                <w:numId w:val="8"/>
              </w:numPr>
              <w:rPr>
                <w:rFonts w:ascii="Arial" w:hAnsi="Arial"/>
                <w:sz w:val="22"/>
                <w:szCs w:val="22"/>
                <w:lang w:eastAsia="en-US"/>
              </w:rPr>
            </w:pPr>
            <w:r w:rsidRPr="00D33473">
              <w:rPr>
                <w:rFonts w:ascii="Arial" w:hAnsi="Arial"/>
                <w:sz w:val="22"/>
                <w:szCs w:val="22"/>
                <w:lang w:eastAsia="en-US"/>
              </w:rPr>
              <w:t>Advanced Practice faculty have published EDI report available on webpage Oct 2024</w:t>
            </w:r>
          </w:p>
          <w:p w14:paraId="38979764" w14:textId="4D1A63FB" w:rsidR="00D33473" w:rsidRPr="00D33473" w:rsidRDefault="00D33473" w:rsidP="00E50EEA">
            <w:pPr>
              <w:pStyle w:val="ListParagraph"/>
              <w:numPr>
                <w:ilvl w:val="0"/>
                <w:numId w:val="8"/>
              </w:numPr>
              <w:rPr>
                <w:rFonts w:ascii="Arial" w:hAnsi="Arial"/>
                <w:sz w:val="22"/>
                <w:szCs w:val="22"/>
                <w:lang w:eastAsia="en-US"/>
              </w:rPr>
            </w:pPr>
            <w:r>
              <w:rPr>
                <w:rFonts w:ascii="Arial" w:hAnsi="Arial"/>
                <w:sz w:val="22"/>
                <w:szCs w:val="22"/>
                <w:lang w:eastAsia="en-US"/>
              </w:rPr>
              <w:t>Assisting MSE ICB Advanced Practice lead with ICB-wide Primary Care capabilities-still in development</w:t>
            </w:r>
          </w:p>
          <w:p w14:paraId="16B9D28F" w14:textId="24644EA9" w:rsidR="00D33473" w:rsidRDefault="00D33473" w:rsidP="00E50EEA">
            <w:pPr>
              <w:pStyle w:val="ListParagraph"/>
              <w:numPr>
                <w:ilvl w:val="0"/>
                <w:numId w:val="8"/>
              </w:numPr>
              <w:rPr>
                <w:rFonts w:ascii="Arial" w:hAnsi="Arial"/>
                <w:sz w:val="22"/>
                <w:szCs w:val="22"/>
                <w:lang w:eastAsia="en-US"/>
              </w:rPr>
            </w:pPr>
            <w:r w:rsidRPr="00D33473">
              <w:rPr>
                <w:rFonts w:ascii="Arial" w:hAnsi="Arial"/>
                <w:sz w:val="22"/>
                <w:szCs w:val="22"/>
                <w:lang w:eastAsia="en-US"/>
              </w:rPr>
              <w:t>Published ‘Readiness for Advanced Practice’ guidance-feedback from training hubs that this is helpful with ongoing career conversations</w:t>
            </w:r>
          </w:p>
          <w:p w14:paraId="3E75FA8C" w14:textId="5C018ED8" w:rsidR="00D33473" w:rsidRPr="007101E7" w:rsidRDefault="00E50EEA" w:rsidP="00C45AAD">
            <w:pPr>
              <w:pStyle w:val="ListParagraph"/>
              <w:numPr>
                <w:ilvl w:val="0"/>
                <w:numId w:val="8"/>
              </w:numPr>
              <w:rPr>
                <w:rFonts w:ascii="Arial" w:hAnsi="Arial"/>
                <w:sz w:val="22"/>
                <w:szCs w:val="22"/>
                <w:lang w:eastAsia="en-US"/>
              </w:rPr>
            </w:pPr>
            <w:r w:rsidRPr="007101E7">
              <w:rPr>
                <w:rFonts w:ascii="Arial" w:hAnsi="Arial"/>
                <w:sz w:val="22"/>
                <w:szCs w:val="22"/>
                <w:lang w:eastAsia="en-US"/>
              </w:rPr>
              <w:t>Training Hubs engaging with advanced practice ICB-led Emerging Areas in Advanced Practice workshops</w:t>
            </w:r>
          </w:p>
          <w:p w14:paraId="4D534D27" w14:textId="77777777" w:rsidR="00C45AAD" w:rsidRDefault="00C45AAD" w:rsidP="00D33473">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tc>
          <w:tcPr>
            <w:tcW w:w="13670" w:type="dxa"/>
            <w:gridSpan w:val="4"/>
            <w:shd w:val="clear" w:color="auto" w:fill="auto"/>
          </w:tcPr>
          <w:p w14:paraId="67F9701E" w14:textId="7801EC2A" w:rsidR="00C45AAD" w:rsidRPr="00E167A0" w:rsidRDefault="000328BC" w:rsidP="00E167A0">
            <w:pPr>
              <w:pStyle w:val="ListParagraph"/>
              <w:numPr>
                <w:ilvl w:val="0"/>
                <w:numId w:val="6"/>
              </w:numPr>
              <w:rPr>
                <w:rFonts w:ascii="Arial" w:hAnsi="Arial"/>
                <w:sz w:val="22"/>
                <w:szCs w:val="22"/>
                <w:lang w:eastAsia="en-US"/>
              </w:rPr>
            </w:pPr>
            <w:r w:rsidRPr="00E167A0">
              <w:rPr>
                <w:rFonts w:ascii="Arial" w:hAnsi="Arial"/>
                <w:sz w:val="22"/>
                <w:szCs w:val="22"/>
                <w:lang w:eastAsia="en-US"/>
              </w:rPr>
              <w:t xml:space="preserve">Due to decreased capacity of the team, the Supervisor/Educator training programme will not be delivered by faculty.  The intention is to have the developed resources available from the EoE regional advanced practice webpage.  ICBs or training hubs/organisations can utilise these resources to help increase supervision capacity.  </w:t>
            </w:r>
          </w:p>
          <w:p w14:paraId="674F176C" w14:textId="77777777" w:rsidR="00C45AAD" w:rsidRPr="00356AB2" w:rsidRDefault="00C45AAD" w:rsidP="00C45AAD">
            <w:pPr>
              <w:rPr>
                <w:rFonts w:ascii="Arial" w:hAnsi="Arial"/>
                <w:sz w:val="22"/>
                <w:szCs w:val="22"/>
                <w:lang w:eastAsia="en-US"/>
              </w:rPr>
            </w:pPr>
          </w:p>
          <w:p w14:paraId="6B3E102D" w14:textId="7AFD7A8D" w:rsidR="007E17F4" w:rsidRPr="00E167A0" w:rsidRDefault="00E167A0" w:rsidP="00E167A0">
            <w:pPr>
              <w:pStyle w:val="ListParagraph"/>
              <w:numPr>
                <w:ilvl w:val="0"/>
                <w:numId w:val="6"/>
              </w:numPr>
              <w:rPr>
                <w:rFonts w:ascii="Arial" w:hAnsi="Arial"/>
                <w:sz w:val="22"/>
                <w:szCs w:val="22"/>
                <w:lang w:eastAsia="en-US"/>
              </w:rPr>
            </w:pPr>
            <w:r w:rsidRPr="00E167A0">
              <w:rPr>
                <w:rFonts w:ascii="Arial" w:hAnsi="Arial"/>
                <w:sz w:val="22"/>
                <w:szCs w:val="22"/>
                <w:lang w:eastAsia="en-US"/>
              </w:rPr>
              <w:t xml:space="preserve">Training Hub leads </w:t>
            </w:r>
            <w:r w:rsidR="00356CAA">
              <w:rPr>
                <w:rFonts w:ascii="Arial" w:hAnsi="Arial"/>
                <w:sz w:val="22"/>
                <w:szCs w:val="22"/>
                <w:lang w:eastAsia="en-US"/>
              </w:rPr>
              <w:t>to attend</w:t>
            </w:r>
            <w:r w:rsidRPr="00E167A0">
              <w:rPr>
                <w:rFonts w:ascii="Arial" w:hAnsi="Arial"/>
                <w:sz w:val="22"/>
                <w:szCs w:val="22"/>
                <w:lang w:eastAsia="en-US"/>
              </w:rPr>
              <w:t xml:space="preserve"> Joint NHSE advanced practice faculty/ICB advanced practice leads meetings</w:t>
            </w:r>
            <w:r w:rsidR="00C3791C">
              <w:rPr>
                <w:rFonts w:ascii="Arial" w:hAnsi="Arial"/>
                <w:sz w:val="22"/>
                <w:szCs w:val="22"/>
                <w:lang w:eastAsia="en-US"/>
              </w:rPr>
              <w:t xml:space="preserve"> to ensure </w:t>
            </w:r>
            <w:r w:rsidR="0079249C">
              <w:rPr>
                <w:rFonts w:ascii="Arial" w:hAnsi="Arial"/>
                <w:sz w:val="22"/>
                <w:szCs w:val="22"/>
                <w:lang w:eastAsia="en-US"/>
              </w:rPr>
              <w:t>clarity</w:t>
            </w:r>
            <w:r w:rsidR="00C3791C">
              <w:rPr>
                <w:rFonts w:ascii="Arial" w:hAnsi="Arial"/>
                <w:sz w:val="22"/>
                <w:szCs w:val="22"/>
                <w:lang w:eastAsia="en-US"/>
              </w:rPr>
              <w:t xml:space="preserve"> about challenges in primar</w:t>
            </w:r>
            <w:r w:rsidR="0079249C">
              <w:rPr>
                <w:rFonts w:ascii="Arial" w:hAnsi="Arial"/>
                <w:sz w:val="22"/>
                <w:szCs w:val="22"/>
                <w:lang w:eastAsia="en-US"/>
              </w:rPr>
              <w:t xml:space="preserve">y care. </w:t>
            </w: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38E76AB4" w14:textId="77777777" w:rsidR="00FD1916" w:rsidRDefault="00FD1916" w:rsidP="00C45AAD">
            <w:pPr>
              <w:rPr>
                <w:rFonts w:ascii="Arial" w:hAnsi="Arial"/>
                <w:sz w:val="22"/>
                <w:szCs w:val="22"/>
                <w:lang w:eastAsia="en-US"/>
              </w:rPr>
            </w:pPr>
          </w:p>
          <w:p w14:paraId="1324537B" w14:textId="0232568C" w:rsidR="00C45AAD" w:rsidRPr="004A37F3" w:rsidRDefault="004A37F3" w:rsidP="004A37F3">
            <w:pPr>
              <w:pStyle w:val="ListParagraph"/>
              <w:numPr>
                <w:ilvl w:val="0"/>
                <w:numId w:val="10"/>
              </w:numPr>
              <w:rPr>
                <w:rFonts w:ascii="Arial" w:hAnsi="Arial"/>
                <w:sz w:val="22"/>
                <w:szCs w:val="22"/>
                <w:lang w:eastAsia="en-US"/>
              </w:rPr>
            </w:pPr>
            <w:r w:rsidRPr="004A37F3">
              <w:rPr>
                <w:rFonts w:ascii="Arial" w:hAnsi="Arial"/>
                <w:sz w:val="22"/>
                <w:szCs w:val="22"/>
                <w:lang w:eastAsia="en-US"/>
              </w:rPr>
              <w:t xml:space="preserve">Advanced Practice faculty will support the PCS and training hubs with a number of their KPIs. </w:t>
            </w: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07B1793D" w14:textId="08B3145E" w:rsidR="00C45AAD" w:rsidRDefault="00F55668" w:rsidP="004A7D30">
            <w:pPr>
              <w:pStyle w:val="ListParagraph"/>
              <w:numPr>
                <w:ilvl w:val="0"/>
                <w:numId w:val="5"/>
              </w:numPr>
              <w:rPr>
                <w:rFonts w:ascii="Arial" w:hAnsi="Arial"/>
                <w:sz w:val="22"/>
                <w:szCs w:val="22"/>
                <w:lang w:eastAsia="en-US"/>
              </w:rPr>
            </w:pPr>
            <w:r w:rsidRPr="004A7D30">
              <w:rPr>
                <w:rFonts w:ascii="Arial" w:hAnsi="Arial"/>
                <w:sz w:val="22"/>
                <w:szCs w:val="22"/>
                <w:lang w:eastAsia="en-US"/>
              </w:rPr>
              <w:t xml:space="preserve">Training grant for trainees increased from £6.5K to £10.2K.  </w:t>
            </w:r>
          </w:p>
          <w:p w14:paraId="7F7BE775" w14:textId="77777777" w:rsidR="004E056C" w:rsidRPr="004A7D30" w:rsidRDefault="004E056C" w:rsidP="004E056C">
            <w:pPr>
              <w:pStyle w:val="ListParagraph"/>
              <w:rPr>
                <w:rFonts w:ascii="Arial" w:hAnsi="Arial"/>
                <w:sz w:val="22"/>
                <w:szCs w:val="22"/>
                <w:lang w:eastAsia="en-US"/>
              </w:rPr>
            </w:pPr>
          </w:p>
          <w:p w14:paraId="65A9D28F" w14:textId="7E4134EE" w:rsidR="00F55668" w:rsidRDefault="00F55668" w:rsidP="004A7D30">
            <w:pPr>
              <w:pStyle w:val="ListParagraph"/>
              <w:numPr>
                <w:ilvl w:val="0"/>
                <w:numId w:val="5"/>
              </w:numPr>
              <w:rPr>
                <w:rFonts w:ascii="Arial" w:hAnsi="Arial"/>
                <w:sz w:val="22"/>
                <w:szCs w:val="22"/>
                <w:lang w:eastAsia="en-US"/>
              </w:rPr>
            </w:pPr>
            <w:r w:rsidRPr="004A7D30">
              <w:rPr>
                <w:rFonts w:ascii="Arial" w:hAnsi="Arial"/>
                <w:sz w:val="22"/>
                <w:szCs w:val="22"/>
                <w:lang w:eastAsia="en-US"/>
              </w:rPr>
              <w:t xml:space="preserve">Some training hubs have seen an increase in apprenticeships and </w:t>
            </w:r>
            <w:r w:rsidR="004A7D30">
              <w:rPr>
                <w:rFonts w:ascii="Arial" w:hAnsi="Arial"/>
                <w:sz w:val="22"/>
                <w:szCs w:val="22"/>
                <w:lang w:eastAsia="en-US"/>
              </w:rPr>
              <w:t xml:space="preserve">are </w:t>
            </w:r>
            <w:r w:rsidRPr="004A7D30">
              <w:rPr>
                <w:rFonts w:ascii="Arial" w:hAnsi="Arial"/>
                <w:sz w:val="22"/>
                <w:szCs w:val="22"/>
                <w:lang w:eastAsia="en-US"/>
              </w:rPr>
              <w:t>providing guidance</w:t>
            </w:r>
            <w:r w:rsidR="004A7D30">
              <w:rPr>
                <w:rFonts w:ascii="Arial" w:hAnsi="Arial"/>
                <w:sz w:val="22"/>
                <w:szCs w:val="22"/>
                <w:lang w:eastAsia="en-US"/>
              </w:rPr>
              <w:t xml:space="preserve"> and governance</w:t>
            </w:r>
            <w:r w:rsidRPr="004A7D30">
              <w:rPr>
                <w:rFonts w:ascii="Arial" w:hAnsi="Arial"/>
                <w:sz w:val="22"/>
                <w:szCs w:val="22"/>
                <w:lang w:eastAsia="en-US"/>
              </w:rPr>
              <w:t xml:space="preserve"> </w:t>
            </w:r>
            <w:r w:rsidR="007101E7" w:rsidRPr="004A7D30">
              <w:rPr>
                <w:rFonts w:ascii="Arial" w:hAnsi="Arial"/>
                <w:sz w:val="22"/>
                <w:szCs w:val="22"/>
                <w:lang w:eastAsia="en-US"/>
              </w:rPr>
              <w:t>to</w:t>
            </w:r>
            <w:r w:rsidR="007101E7">
              <w:rPr>
                <w:rFonts w:ascii="Arial" w:hAnsi="Arial"/>
                <w:sz w:val="22"/>
                <w:szCs w:val="22"/>
                <w:lang w:eastAsia="en-US"/>
              </w:rPr>
              <w:t xml:space="preserve"> and</w:t>
            </w:r>
            <w:r w:rsidR="004A7D30">
              <w:rPr>
                <w:rFonts w:ascii="Arial" w:hAnsi="Arial"/>
                <w:sz w:val="22"/>
                <w:szCs w:val="22"/>
                <w:lang w:eastAsia="en-US"/>
              </w:rPr>
              <w:t xml:space="preserve"> seeking assurances from </w:t>
            </w:r>
            <w:r w:rsidRPr="004A7D30">
              <w:rPr>
                <w:rFonts w:ascii="Arial" w:hAnsi="Arial"/>
                <w:sz w:val="22"/>
                <w:szCs w:val="22"/>
                <w:lang w:eastAsia="en-US"/>
              </w:rPr>
              <w:t>organisations as to how to</w:t>
            </w:r>
            <w:r w:rsidR="000328BC" w:rsidRPr="004A7D30">
              <w:rPr>
                <w:rFonts w:ascii="Arial" w:hAnsi="Arial"/>
                <w:sz w:val="22"/>
                <w:szCs w:val="22"/>
                <w:lang w:eastAsia="en-US"/>
              </w:rPr>
              <w:t xml:space="preserve"> appropriately utilise training grant and ringfenced supervision funding of £2.6K for the benefit of the trainees. </w:t>
            </w:r>
          </w:p>
          <w:p w14:paraId="7FB6C48D" w14:textId="77777777" w:rsidR="005C190B" w:rsidRDefault="005C190B" w:rsidP="005C190B">
            <w:pPr>
              <w:rPr>
                <w:rFonts w:ascii="Arial" w:hAnsi="Arial"/>
                <w:sz w:val="22"/>
                <w:szCs w:val="22"/>
                <w:lang w:eastAsia="en-US"/>
              </w:rPr>
            </w:pPr>
          </w:p>
          <w:p w14:paraId="71228009" w14:textId="77777777" w:rsidR="005C190B" w:rsidRDefault="005C190B" w:rsidP="005C190B">
            <w:pPr>
              <w:rPr>
                <w:rFonts w:ascii="Arial" w:hAnsi="Arial"/>
                <w:sz w:val="22"/>
                <w:szCs w:val="22"/>
                <w:lang w:eastAsia="en-US"/>
              </w:rPr>
            </w:pPr>
          </w:p>
          <w:p w14:paraId="5CF0EAFA" w14:textId="77777777" w:rsidR="005C190B" w:rsidRDefault="005C190B" w:rsidP="005C190B">
            <w:pPr>
              <w:rPr>
                <w:rFonts w:ascii="Arial" w:hAnsi="Arial"/>
                <w:sz w:val="22"/>
                <w:szCs w:val="22"/>
                <w:lang w:eastAsia="en-US"/>
              </w:rPr>
            </w:pPr>
          </w:p>
          <w:p w14:paraId="613C834C" w14:textId="77777777" w:rsidR="005C190B" w:rsidRDefault="005C190B" w:rsidP="005C190B">
            <w:pPr>
              <w:rPr>
                <w:rFonts w:ascii="Arial" w:hAnsi="Arial"/>
                <w:sz w:val="22"/>
                <w:szCs w:val="22"/>
                <w:lang w:eastAsia="en-US"/>
              </w:rPr>
            </w:pPr>
          </w:p>
          <w:p w14:paraId="4F6D635A" w14:textId="77777777" w:rsidR="005C190B" w:rsidRDefault="005C190B" w:rsidP="005C190B">
            <w:pPr>
              <w:rPr>
                <w:rFonts w:ascii="Arial" w:hAnsi="Arial"/>
                <w:sz w:val="22"/>
                <w:szCs w:val="22"/>
                <w:lang w:eastAsia="en-US"/>
              </w:rPr>
            </w:pPr>
          </w:p>
          <w:p w14:paraId="57F2B454" w14:textId="77777777" w:rsidR="005C190B" w:rsidRPr="005C190B" w:rsidRDefault="005C190B" w:rsidP="005C190B">
            <w:pPr>
              <w:rPr>
                <w:rFonts w:ascii="Arial" w:hAnsi="Arial"/>
                <w:sz w:val="22"/>
                <w:szCs w:val="22"/>
                <w:lang w:eastAsia="en-US"/>
              </w:rPr>
            </w:pP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0C47A06" w14:textId="77777777" w:rsidR="004E056C" w:rsidRDefault="00C9491D" w:rsidP="005C190B">
            <w:pPr>
              <w:pStyle w:val="ListParagraph"/>
              <w:numPr>
                <w:ilvl w:val="0"/>
                <w:numId w:val="9"/>
              </w:numPr>
              <w:rPr>
                <w:rFonts w:ascii="Arial" w:hAnsi="Arial"/>
                <w:sz w:val="22"/>
                <w:szCs w:val="22"/>
                <w:lang w:eastAsia="en-US"/>
              </w:rPr>
            </w:pPr>
            <w:r w:rsidRPr="005C190B">
              <w:rPr>
                <w:rFonts w:ascii="Arial" w:hAnsi="Arial"/>
                <w:sz w:val="22"/>
                <w:szCs w:val="22"/>
                <w:lang w:eastAsia="en-US"/>
              </w:rPr>
              <w:t>Regional Lead Katie Cooper will be leav</w:t>
            </w:r>
            <w:r w:rsidR="00A468A6" w:rsidRPr="005C190B">
              <w:rPr>
                <w:rFonts w:ascii="Arial" w:hAnsi="Arial"/>
                <w:sz w:val="22"/>
                <w:szCs w:val="22"/>
                <w:lang w:eastAsia="en-US"/>
              </w:rPr>
              <w:t>ing</w:t>
            </w:r>
            <w:r w:rsidRPr="005C190B">
              <w:rPr>
                <w:rFonts w:ascii="Arial" w:hAnsi="Arial"/>
                <w:sz w:val="22"/>
                <w:szCs w:val="22"/>
                <w:lang w:eastAsia="en-US"/>
              </w:rPr>
              <w:t xml:space="preserve"> the regional faculty and taking the role of National Lead for Multiprofessional Advanced Practice.  Kashka Richards, Programme Lead, will be interim lead, while the role is recruited into. </w:t>
            </w:r>
          </w:p>
          <w:p w14:paraId="311BD4A8" w14:textId="05F345AC" w:rsidR="00C45AAD" w:rsidRPr="005C190B" w:rsidRDefault="00C9491D" w:rsidP="004E056C">
            <w:pPr>
              <w:pStyle w:val="ListParagraph"/>
              <w:rPr>
                <w:rFonts w:ascii="Arial" w:hAnsi="Arial"/>
                <w:sz w:val="22"/>
                <w:szCs w:val="22"/>
                <w:lang w:eastAsia="en-US"/>
              </w:rPr>
            </w:pPr>
            <w:r w:rsidRPr="005C190B">
              <w:rPr>
                <w:rFonts w:ascii="Arial" w:hAnsi="Arial"/>
                <w:sz w:val="22"/>
                <w:szCs w:val="22"/>
                <w:lang w:eastAsia="en-US"/>
              </w:rPr>
              <w:t xml:space="preserve"> </w:t>
            </w:r>
          </w:p>
          <w:p w14:paraId="3DA8ED19" w14:textId="77777777" w:rsidR="00C9491D" w:rsidRDefault="00C9491D" w:rsidP="005C190B">
            <w:pPr>
              <w:pStyle w:val="ListParagraph"/>
              <w:numPr>
                <w:ilvl w:val="0"/>
                <w:numId w:val="9"/>
              </w:numPr>
              <w:rPr>
                <w:rFonts w:ascii="Arial" w:hAnsi="Arial"/>
                <w:sz w:val="22"/>
                <w:szCs w:val="22"/>
                <w:lang w:eastAsia="en-US"/>
              </w:rPr>
            </w:pPr>
            <w:r w:rsidRPr="005C190B">
              <w:rPr>
                <w:rFonts w:ascii="Arial" w:hAnsi="Arial"/>
                <w:sz w:val="22"/>
                <w:szCs w:val="22"/>
                <w:lang w:eastAsia="en-US"/>
              </w:rPr>
              <w:t>No current admin support</w:t>
            </w:r>
          </w:p>
          <w:p w14:paraId="6DF754A7" w14:textId="77777777" w:rsidR="004E056C" w:rsidRPr="004E056C" w:rsidRDefault="004E056C" w:rsidP="004E056C">
            <w:pPr>
              <w:pStyle w:val="ListParagraph"/>
              <w:rPr>
                <w:rFonts w:ascii="Arial" w:hAnsi="Arial"/>
                <w:sz w:val="22"/>
                <w:szCs w:val="22"/>
                <w:lang w:eastAsia="en-US"/>
              </w:rPr>
            </w:pPr>
          </w:p>
          <w:p w14:paraId="0C1DCABC" w14:textId="77777777" w:rsidR="004E056C" w:rsidRPr="005C190B" w:rsidRDefault="004E056C" w:rsidP="004E056C">
            <w:pPr>
              <w:pStyle w:val="ListParagraph"/>
              <w:rPr>
                <w:rFonts w:ascii="Arial" w:hAnsi="Arial"/>
                <w:sz w:val="22"/>
                <w:szCs w:val="22"/>
                <w:lang w:eastAsia="en-US"/>
              </w:rPr>
            </w:pPr>
          </w:p>
          <w:p w14:paraId="5F8C9CC0" w14:textId="77777777" w:rsidR="00C9491D" w:rsidRPr="005C190B" w:rsidRDefault="00C9491D" w:rsidP="005C190B">
            <w:pPr>
              <w:pStyle w:val="ListParagraph"/>
              <w:numPr>
                <w:ilvl w:val="0"/>
                <w:numId w:val="9"/>
              </w:numPr>
              <w:rPr>
                <w:rFonts w:ascii="Arial" w:hAnsi="Arial"/>
                <w:sz w:val="22"/>
                <w:szCs w:val="22"/>
                <w:lang w:eastAsia="en-US"/>
              </w:rPr>
            </w:pPr>
            <w:r w:rsidRPr="005C190B">
              <w:rPr>
                <w:rFonts w:ascii="Arial" w:hAnsi="Arial"/>
                <w:sz w:val="22"/>
                <w:szCs w:val="22"/>
                <w:lang w:eastAsia="en-US"/>
              </w:rPr>
              <w:t>No current Supervision and Assessment lead</w:t>
            </w:r>
          </w:p>
          <w:p w14:paraId="6279AE7A" w14:textId="77777777" w:rsidR="005C190B" w:rsidRDefault="005C190B" w:rsidP="00C45AAD">
            <w:pPr>
              <w:rPr>
                <w:rFonts w:ascii="Arial" w:hAnsi="Arial"/>
                <w:sz w:val="22"/>
                <w:szCs w:val="22"/>
                <w:lang w:eastAsia="en-US"/>
              </w:rPr>
            </w:pPr>
          </w:p>
          <w:p w14:paraId="12789481" w14:textId="77777777" w:rsidR="005C190B" w:rsidRDefault="005C190B" w:rsidP="00C45AAD">
            <w:pPr>
              <w:rPr>
                <w:rFonts w:ascii="Arial" w:hAnsi="Arial"/>
                <w:sz w:val="22"/>
                <w:szCs w:val="22"/>
                <w:lang w:eastAsia="en-US"/>
              </w:rPr>
            </w:pPr>
          </w:p>
          <w:p w14:paraId="27788751" w14:textId="77777777" w:rsidR="005C190B" w:rsidRDefault="005C190B" w:rsidP="00C45AAD">
            <w:pPr>
              <w:rPr>
                <w:rFonts w:ascii="Arial" w:hAnsi="Arial"/>
                <w:sz w:val="22"/>
                <w:szCs w:val="22"/>
                <w:lang w:eastAsia="en-US"/>
              </w:rPr>
            </w:pPr>
          </w:p>
          <w:p w14:paraId="570C5828" w14:textId="77777777" w:rsidR="005C190B" w:rsidRDefault="005C190B" w:rsidP="00C45AAD">
            <w:pPr>
              <w:rPr>
                <w:rFonts w:ascii="Arial" w:hAnsi="Arial"/>
                <w:sz w:val="22"/>
                <w:szCs w:val="22"/>
                <w:lang w:eastAsia="en-US"/>
              </w:rPr>
            </w:pPr>
          </w:p>
          <w:p w14:paraId="61403F9D" w14:textId="5F4EFC73" w:rsidR="005C190B" w:rsidRPr="00356AB2" w:rsidRDefault="005C190B"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798F3FB4" w:rsidR="00C45AAD" w:rsidRPr="005C190B" w:rsidRDefault="00E16D50" w:rsidP="005C190B">
            <w:pPr>
              <w:pStyle w:val="ListParagraph"/>
              <w:numPr>
                <w:ilvl w:val="0"/>
                <w:numId w:val="9"/>
              </w:numPr>
              <w:rPr>
                <w:rFonts w:ascii="Arial" w:hAnsi="Arial"/>
                <w:sz w:val="22"/>
                <w:szCs w:val="22"/>
                <w:lang w:eastAsia="en-US"/>
              </w:rPr>
            </w:pPr>
            <w:r w:rsidRPr="005C190B">
              <w:rPr>
                <w:rFonts w:ascii="Arial" w:hAnsi="Arial"/>
                <w:sz w:val="22"/>
                <w:szCs w:val="22"/>
                <w:lang w:eastAsia="en-US"/>
              </w:rPr>
              <w:t xml:space="preserve">Supervisor Training Programme-estimated </w:t>
            </w:r>
            <w:r w:rsidR="005C190B" w:rsidRPr="005C190B">
              <w:rPr>
                <w:rFonts w:ascii="Arial" w:hAnsi="Arial"/>
                <w:sz w:val="22"/>
                <w:szCs w:val="22"/>
                <w:lang w:eastAsia="en-US"/>
              </w:rPr>
              <w:t>availab</w:t>
            </w:r>
            <w:r w:rsidR="005C190B">
              <w:rPr>
                <w:rFonts w:ascii="Arial" w:hAnsi="Arial"/>
                <w:sz w:val="22"/>
                <w:szCs w:val="22"/>
                <w:lang w:eastAsia="en-US"/>
              </w:rPr>
              <w:t>ility</w:t>
            </w:r>
            <w:r w:rsidRPr="005C190B">
              <w:rPr>
                <w:rFonts w:ascii="Arial" w:hAnsi="Arial"/>
                <w:sz w:val="22"/>
                <w:szCs w:val="22"/>
                <w:lang w:eastAsia="en-US"/>
              </w:rPr>
              <w:t xml:space="preserve"> Jan 2025</w:t>
            </w: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Default="00C45AAD" w:rsidP="00C45AAD">
            <w:pPr>
              <w:rPr>
                <w:rFonts w:ascii="Arial" w:hAnsi="Arial"/>
                <w:sz w:val="22"/>
                <w:szCs w:val="22"/>
                <w:lang w:eastAsia="en-US"/>
              </w:rPr>
            </w:pPr>
          </w:p>
          <w:p w14:paraId="18A4970E" w14:textId="77777777" w:rsidR="004A7D30" w:rsidRDefault="004A7D30" w:rsidP="00C45AAD">
            <w:pPr>
              <w:rPr>
                <w:rFonts w:ascii="Arial" w:hAnsi="Arial"/>
                <w:sz w:val="22"/>
                <w:szCs w:val="22"/>
                <w:lang w:eastAsia="en-US"/>
              </w:rPr>
            </w:pPr>
          </w:p>
          <w:p w14:paraId="278E7057" w14:textId="77777777" w:rsidR="004A7D30" w:rsidRDefault="004A7D30" w:rsidP="00C45AAD">
            <w:pPr>
              <w:rPr>
                <w:rFonts w:ascii="Arial" w:hAnsi="Arial"/>
                <w:sz w:val="22"/>
                <w:szCs w:val="22"/>
                <w:lang w:eastAsia="en-US"/>
              </w:rPr>
            </w:pPr>
          </w:p>
          <w:p w14:paraId="5AC39D26" w14:textId="77777777" w:rsidR="005C190B" w:rsidRDefault="005C190B" w:rsidP="00C45AAD">
            <w:pPr>
              <w:rPr>
                <w:rFonts w:ascii="Arial" w:hAnsi="Arial"/>
                <w:sz w:val="22"/>
                <w:szCs w:val="22"/>
                <w:lang w:eastAsia="en-US"/>
              </w:rPr>
            </w:pPr>
          </w:p>
          <w:p w14:paraId="03C10715" w14:textId="77777777" w:rsidR="005C190B" w:rsidRDefault="005C190B" w:rsidP="00C45AAD">
            <w:pPr>
              <w:rPr>
                <w:rFonts w:ascii="Arial" w:hAnsi="Arial"/>
                <w:sz w:val="22"/>
                <w:szCs w:val="22"/>
                <w:lang w:eastAsia="en-US"/>
              </w:rPr>
            </w:pPr>
          </w:p>
          <w:p w14:paraId="6341FDA8" w14:textId="77777777" w:rsidR="005C190B" w:rsidRDefault="005C190B" w:rsidP="00C45AAD">
            <w:pPr>
              <w:rPr>
                <w:rFonts w:ascii="Arial" w:hAnsi="Arial"/>
                <w:sz w:val="22"/>
                <w:szCs w:val="22"/>
                <w:lang w:eastAsia="en-US"/>
              </w:rPr>
            </w:pPr>
          </w:p>
          <w:p w14:paraId="09DC48C3" w14:textId="77777777" w:rsidR="005C190B" w:rsidRDefault="005C190B" w:rsidP="00C45AAD">
            <w:pPr>
              <w:rPr>
                <w:rFonts w:ascii="Arial" w:hAnsi="Arial"/>
                <w:sz w:val="22"/>
                <w:szCs w:val="22"/>
                <w:lang w:eastAsia="en-US"/>
              </w:rPr>
            </w:pPr>
          </w:p>
          <w:p w14:paraId="477E4FDC" w14:textId="77777777" w:rsidR="005C190B" w:rsidRDefault="005C190B" w:rsidP="00C45AAD">
            <w:pPr>
              <w:rPr>
                <w:rFonts w:ascii="Arial" w:hAnsi="Arial"/>
                <w:sz w:val="22"/>
                <w:szCs w:val="22"/>
                <w:lang w:eastAsia="en-US"/>
              </w:rPr>
            </w:pPr>
          </w:p>
          <w:p w14:paraId="1AB8C57F" w14:textId="77777777" w:rsidR="005C190B" w:rsidRDefault="005C190B" w:rsidP="00C45AAD">
            <w:pPr>
              <w:rPr>
                <w:rFonts w:ascii="Arial" w:hAnsi="Arial"/>
                <w:sz w:val="22"/>
                <w:szCs w:val="22"/>
                <w:lang w:eastAsia="en-US"/>
              </w:rPr>
            </w:pPr>
          </w:p>
          <w:p w14:paraId="0F7A4076" w14:textId="77777777" w:rsidR="005C190B" w:rsidRDefault="005C190B" w:rsidP="00C45AAD">
            <w:pPr>
              <w:rPr>
                <w:rFonts w:ascii="Arial" w:hAnsi="Arial"/>
                <w:sz w:val="22"/>
                <w:szCs w:val="22"/>
                <w:lang w:eastAsia="en-US"/>
              </w:rPr>
            </w:pPr>
          </w:p>
          <w:p w14:paraId="234FF496" w14:textId="77777777" w:rsidR="005C190B" w:rsidRDefault="005C190B" w:rsidP="00C45AAD">
            <w:pPr>
              <w:rPr>
                <w:rFonts w:ascii="Arial" w:hAnsi="Arial"/>
                <w:sz w:val="22"/>
                <w:szCs w:val="22"/>
                <w:lang w:eastAsia="en-US"/>
              </w:rPr>
            </w:pPr>
          </w:p>
          <w:p w14:paraId="0F98724D" w14:textId="77777777" w:rsidR="004A7D30" w:rsidRDefault="004A7D30" w:rsidP="00C45AAD">
            <w:pPr>
              <w:rPr>
                <w:rFonts w:ascii="Arial" w:hAnsi="Arial"/>
                <w:sz w:val="22"/>
                <w:szCs w:val="22"/>
                <w:lang w:eastAsia="en-US"/>
              </w:rPr>
            </w:pPr>
          </w:p>
          <w:p w14:paraId="6537740D" w14:textId="77777777" w:rsidR="004A7D30" w:rsidRDefault="004A7D30" w:rsidP="00C45AAD">
            <w:pPr>
              <w:rPr>
                <w:rFonts w:ascii="Arial" w:hAnsi="Arial"/>
                <w:sz w:val="22"/>
                <w:szCs w:val="22"/>
                <w:lang w:eastAsia="en-US"/>
              </w:rPr>
            </w:pPr>
          </w:p>
          <w:p w14:paraId="18E6FFBE" w14:textId="77777777" w:rsidR="004A7D30" w:rsidRPr="00356AB2" w:rsidRDefault="004A7D30"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47368D2A" w14:textId="2994406C" w:rsidR="00C45AAD" w:rsidRPr="00F55668" w:rsidRDefault="00C9491D" w:rsidP="00F55668">
            <w:pPr>
              <w:pStyle w:val="ListParagraph"/>
              <w:numPr>
                <w:ilvl w:val="0"/>
                <w:numId w:val="4"/>
              </w:numPr>
              <w:rPr>
                <w:rFonts w:ascii="Arial" w:hAnsi="Arial"/>
                <w:sz w:val="22"/>
                <w:szCs w:val="22"/>
                <w:lang w:eastAsia="en-US"/>
              </w:rPr>
            </w:pPr>
            <w:r w:rsidRPr="00F55668">
              <w:rPr>
                <w:rFonts w:ascii="Arial" w:hAnsi="Arial"/>
                <w:sz w:val="22"/>
                <w:szCs w:val="22"/>
                <w:lang w:eastAsia="en-US"/>
              </w:rPr>
              <w:t xml:space="preserve">No further funding for some Advanced Practice roles in ICBs, some training hubs AP lead roles vacant.  Risk of decreased oversight and representation of advanced practice within organisations and at board level.  </w:t>
            </w:r>
          </w:p>
          <w:p w14:paraId="1C08760B" w14:textId="77777777" w:rsidR="00C9491D" w:rsidRDefault="00C9491D" w:rsidP="00C45AAD">
            <w:pPr>
              <w:rPr>
                <w:rFonts w:ascii="Arial" w:hAnsi="Arial"/>
                <w:sz w:val="22"/>
                <w:szCs w:val="22"/>
                <w:lang w:eastAsia="en-US"/>
              </w:rPr>
            </w:pPr>
          </w:p>
          <w:p w14:paraId="5E5ED6D5" w14:textId="0DA67A48" w:rsidR="00C9491D" w:rsidRPr="00F55668" w:rsidRDefault="00C9491D" w:rsidP="00F55668">
            <w:pPr>
              <w:pStyle w:val="ListParagraph"/>
              <w:numPr>
                <w:ilvl w:val="0"/>
                <w:numId w:val="4"/>
              </w:numPr>
              <w:rPr>
                <w:rFonts w:ascii="Arial" w:hAnsi="Arial"/>
                <w:sz w:val="22"/>
                <w:szCs w:val="22"/>
                <w:lang w:eastAsia="en-US"/>
              </w:rPr>
            </w:pPr>
            <w:r w:rsidRPr="00F55668">
              <w:rPr>
                <w:rFonts w:ascii="Arial" w:hAnsi="Arial"/>
                <w:sz w:val="22"/>
                <w:szCs w:val="22"/>
                <w:lang w:eastAsia="en-US"/>
              </w:rPr>
              <w:t>Decreased capacity of Regional Advanced Practice team.  No current S&amp;A lead-KT attends meetings in lieu, no admin</w:t>
            </w:r>
            <w:r w:rsidR="00A468A6" w:rsidRPr="00F55668">
              <w:rPr>
                <w:rFonts w:ascii="Arial" w:hAnsi="Arial"/>
                <w:sz w:val="22"/>
                <w:szCs w:val="22"/>
                <w:lang w:eastAsia="en-US"/>
              </w:rPr>
              <w:t xml:space="preserve"> support</w:t>
            </w:r>
            <w:r w:rsidRPr="00F55668">
              <w:rPr>
                <w:rFonts w:ascii="Arial" w:hAnsi="Arial"/>
                <w:sz w:val="22"/>
                <w:szCs w:val="22"/>
                <w:lang w:eastAsia="en-US"/>
              </w:rPr>
              <w:t>, and regional lead’s job out for recruitment-last working day 10 Dec.  Programme Lead will be working as interim lead.  Risk of delays and unmet deadlines</w:t>
            </w:r>
            <w:r w:rsidR="00F55668" w:rsidRPr="00F55668">
              <w:rPr>
                <w:rFonts w:ascii="Arial" w:hAnsi="Arial"/>
                <w:sz w:val="22"/>
                <w:szCs w:val="22"/>
                <w:lang w:eastAsia="en-US"/>
              </w:rPr>
              <w:t>.</w:t>
            </w:r>
          </w:p>
          <w:p w14:paraId="2A2065E3" w14:textId="77777777" w:rsidR="00C45AAD" w:rsidRDefault="00C45AAD" w:rsidP="00C45AAD">
            <w:pPr>
              <w:rPr>
                <w:rFonts w:ascii="Arial" w:hAnsi="Arial"/>
                <w:sz w:val="22"/>
                <w:szCs w:val="22"/>
                <w:lang w:eastAsia="en-US"/>
              </w:rPr>
            </w:pPr>
          </w:p>
          <w:p w14:paraId="4686F25D" w14:textId="77777777" w:rsidR="00C45AAD" w:rsidRDefault="00C45AAD" w:rsidP="00C45AAD">
            <w:pPr>
              <w:rPr>
                <w:rFonts w:ascii="Arial" w:hAnsi="Arial"/>
                <w:sz w:val="22"/>
                <w:szCs w:val="22"/>
                <w:lang w:eastAsia="en-US"/>
              </w:rPr>
            </w:pP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B8670F9" w14:textId="77777777" w:rsidR="00F55668" w:rsidRDefault="00A468A6" w:rsidP="00F55668">
            <w:pPr>
              <w:pStyle w:val="ListParagraph"/>
              <w:numPr>
                <w:ilvl w:val="0"/>
                <w:numId w:val="3"/>
              </w:numPr>
              <w:rPr>
                <w:rFonts w:ascii="Arial" w:hAnsi="Arial"/>
                <w:sz w:val="22"/>
                <w:szCs w:val="22"/>
                <w:lang w:eastAsia="en-US"/>
              </w:rPr>
            </w:pPr>
            <w:r w:rsidRPr="00F55668">
              <w:rPr>
                <w:rFonts w:ascii="Arial" w:hAnsi="Arial"/>
                <w:sz w:val="22"/>
                <w:szCs w:val="22"/>
                <w:lang w:eastAsia="en-US"/>
              </w:rPr>
              <w:t xml:space="preserve">Training hubs have a good understanding of the Advanced Practice multiprofessional framework-which underpins advanced level practice.  </w:t>
            </w:r>
          </w:p>
          <w:p w14:paraId="664C3A52" w14:textId="77777777" w:rsidR="004E056C" w:rsidRPr="00F55668" w:rsidRDefault="004E056C" w:rsidP="004E056C">
            <w:pPr>
              <w:pStyle w:val="ListParagraph"/>
              <w:rPr>
                <w:rFonts w:ascii="Arial" w:hAnsi="Arial"/>
                <w:sz w:val="22"/>
                <w:szCs w:val="22"/>
                <w:lang w:eastAsia="en-US"/>
              </w:rPr>
            </w:pPr>
          </w:p>
          <w:p w14:paraId="78C188C9" w14:textId="587B3830" w:rsidR="00845DBD" w:rsidRDefault="00F55668" w:rsidP="00F55668">
            <w:pPr>
              <w:pStyle w:val="ListParagraph"/>
              <w:numPr>
                <w:ilvl w:val="0"/>
                <w:numId w:val="3"/>
              </w:numPr>
              <w:rPr>
                <w:rFonts w:ascii="Arial" w:hAnsi="Arial"/>
                <w:sz w:val="22"/>
                <w:szCs w:val="22"/>
                <w:lang w:eastAsia="en-US"/>
              </w:rPr>
            </w:pPr>
            <w:r w:rsidRPr="00F55668">
              <w:rPr>
                <w:rFonts w:ascii="Arial" w:hAnsi="Arial"/>
                <w:sz w:val="22"/>
                <w:szCs w:val="22"/>
                <w:lang w:eastAsia="en-US"/>
              </w:rPr>
              <w:t>Training hubs are</w:t>
            </w:r>
            <w:r w:rsidR="00A468A6" w:rsidRPr="00F55668">
              <w:rPr>
                <w:rFonts w:ascii="Arial" w:hAnsi="Arial"/>
                <w:sz w:val="22"/>
                <w:szCs w:val="22"/>
                <w:lang w:eastAsia="en-US"/>
              </w:rPr>
              <w:t xml:space="preserve"> engaging with the maturity matrix and presenting matrices</w:t>
            </w:r>
            <w:r w:rsidR="009076B4">
              <w:rPr>
                <w:rFonts w:ascii="Arial" w:hAnsi="Arial"/>
                <w:sz w:val="22"/>
                <w:szCs w:val="22"/>
                <w:lang w:eastAsia="en-US"/>
              </w:rPr>
              <w:t xml:space="preserve"> at ICB advanced practice faculty meetings</w:t>
            </w:r>
            <w:r w:rsidR="00A468A6" w:rsidRPr="00F55668">
              <w:rPr>
                <w:rFonts w:ascii="Arial" w:hAnsi="Arial"/>
                <w:sz w:val="22"/>
                <w:szCs w:val="22"/>
                <w:lang w:eastAsia="en-US"/>
              </w:rPr>
              <w:t xml:space="preserve">.  </w:t>
            </w:r>
          </w:p>
          <w:p w14:paraId="3C8148BB" w14:textId="77777777" w:rsidR="004E056C" w:rsidRPr="004E056C" w:rsidRDefault="004E056C" w:rsidP="004E056C">
            <w:pPr>
              <w:pStyle w:val="ListParagraph"/>
              <w:rPr>
                <w:rFonts w:ascii="Arial" w:hAnsi="Arial"/>
                <w:sz w:val="22"/>
                <w:szCs w:val="22"/>
                <w:lang w:eastAsia="en-US"/>
              </w:rPr>
            </w:pPr>
          </w:p>
          <w:p w14:paraId="0F409ADA" w14:textId="77777777" w:rsidR="004E056C" w:rsidRDefault="004E056C" w:rsidP="004E056C">
            <w:pPr>
              <w:pStyle w:val="ListParagraph"/>
              <w:rPr>
                <w:rFonts w:ascii="Arial" w:hAnsi="Arial"/>
                <w:sz w:val="22"/>
                <w:szCs w:val="22"/>
                <w:lang w:eastAsia="en-US"/>
              </w:rPr>
            </w:pPr>
          </w:p>
          <w:p w14:paraId="6A90D330" w14:textId="0A9AD831" w:rsidR="005C190B" w:rsidRPr="00F55668" w:rsidRDefault="005C190B" w:rsidP="00F55668">
            <w:pPr>
              <w:pStyle w:val="ListParagraph"/>
              <w:numPr>
                <w:ilvl w:val="0"/>
                <w:numId w:val="3"/>
              </w:numPr>
              <w:rPr>
                <w:rFonts w:ascii="Arial" w:hAnsi="Arial"/>
                <w:sz w:val="22"/>
                <w:szCs w:val="22"/>
                <w:lang w:eastAsia="en-US"/>
              </w:rPr>
            </w:pPr>
            <w:r>
              <w:rPr>
                <w:rFonts w:ascii="Arial" w:hAnsi="Arial"/>
                <w:sz w:val="22"/>
                <w:szCs w:val="22"/>
                <w:lang w:eastAsia="en-US"/>
              </w:rPr>
              <w:t xml:space="preserve">Working with training hubs and feedback re: change of circumstance forms to keep funding/trainee information up to date. </w:t>
            </w:r>
          </w:p>
        </w:tc>
      </w:tr>
      <w:tr w:rsidR="00C45AAD" w:rsidRPr="00356AB2" w14:paraId="3B739C9D" w14:textId="77777777">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trPr>
          <w:trHeight w:val="983"/>
        </w:trPr>
        <w:tc>
          <w:tcPr>
            <w:tcW w:w="13670" w:type="dxa"/>
            <w:gridSpan w:val="4"/>
            <w:tcBorders>
              <w:right w:val="single" w:sz="4" w:space="0" w:color="auto"/>
            </w:tcBorders>
            <w:shd w:val="clear" w:color="auto" w:fill="auto"/>
          </w:tcPr>
          <w:p w14:paraId="73E8DB9B" w14:textId="77777777" w:rsidR="004A7D30" w:rsidRDefault="004A7D30" w:rsidP="00C45AAD">
            <w:pPr>
              <w:rPr>
                <w:rFonts w:ascii="Arial" w:hAnsi="Arial"/>
                <w:sz w:val="22"/>
                <w:szCs w:val="22"/>
                <w:lang w:eastAsia="en-US"/>
              </w:rPr>
            </w:pPr>
          </w:p>
          <w:p w14:paraId="23C9C8CB" w14:textId="6B665A90" w:rsidR="00C45AAD" w:rsidRDefault="004A7D30" w:rsidP="004A37F3">
            <w:pPr>
              <w:pStyle w:val="ListParagraph"/>
              <w:numPr>
                <w:ilvl w:val="0"/>
                <w:numId w:val="11"/>
              </w:numPr>
              <w:rPr>
                <w:rFonts w:ascii="Arial" w:hAnsi="Arial"/>
                <w:sz w:val="22"/>
                <w:szCs w:val="22"/>
                <w:lang w:eastAsia="en-US"/>
              </w:rPr>
            </w:pPr>
            <w:r w:rsidRPr="004A37F3">
              <w:rPr>
                <w:rFonts w:ascii="Arial" w:hAnsi="Arial"/>
                <w:sz w:val="22"/>
                <w:szCs w:val="22"/>
                <w:lang w:eastAsia="en-US"/>
              </w:rPr>
              <w:t>Good engagement at PC advanced practice forums</w:t>
            </w:r>
            <w:r w:rsidR="00FD1916" w:rsidRPr="004A37F3">
              <w:rPr>
                <w:rFonts w:ascii="Arial" w:hAnsi="Arial"/>
                <w:sz w:val="22"/>
                <w:szCs w:val="22"/>
                <w:lang w:eastAsia="en-US"/>
              </w:rPr>
              <w:t xml:space="preserve"> from a range of stakeholders, including training hubs and HEIs</w:t>
            </w:r>
          </w:p>
          <w:p w14:paraId="78E1E4F9" w14:textId="77777777" w:rsidR="00F2517E" w:rsidRPr="004A37F3" w:rsidRDefault="00F2517E" w:rsidP="00F2517E">
            <w:pPr>
              <w:pStyle w:val="ListParagraph"/>
              <w:rPr>
                <w:rFonts w:ascii="Arial" w:hAnsi="Arial"/>
                <w:sz w:val="22"/>
                <w:szCs w:val="22"/>
                <w:lang w:eastAsia="en-US"/>
              </w:rPr>
            </w:pPr>
          </w:p>
          <w:p w14:paraId="4C43899D" w14:textId="5C8A9F23" w:rsidR="004A7D30" w:rsidRDefault="004A7D30" w:rsidP="004A37F3">
            <w:pPr>
              <w:pStyle w:val="ListParagraph"/>
              <w:numPr>
                <w:ilvl w:val="0"/>
                <w:numId w:val="11"/>
              </w:numPr>
              <w:rPr>
                <w:rFonts w:ascii="Arial" w:hAnsi="Arial"/>
                <w:sz w:val="22"/>
                <w:szCs w:val="22"/>
                <w:lang w:eastAsia="en-US"/>
              </w:rPr>
            </w:pPr>
            <w:r w:rsidRPr="004A37F3">
              <w:rPr>
                <w:rFonts w:ascii="Arial" w:hAnsi="Arial"/>
                <w:sz w:val="22"/>
                <w:szCs w:val="22"/>
                <w:lang w:eastAsia="en-US"/>
              </w:rPr>
              <w:t>Training Hubs have reported better engagement with HEIs</w:t>
            </w:r>
          </w:p>
          <w:p w14:paraId="6C28C8DA" w14:textId="77777777" w:rsidR="00F2517E" w:rsidRPr="00F2517E" w:rsidRDefault="00F2517E" w:rsidP="00F2517E">
            <w:pPr>
              <w:pStyle w:val="ListParagraph"/>
              <w:rPr>
                <w:rFonts w:ascii="Arial" w:hAnsi="Arial"/>
                <w:sz w:val="22"/>
                <w:szCs w:val="22"/>
                <w:lang w:eastAsia="en-US"/>
              </w:rPr>
            </w:pPr>
          </w:p>
          <w:p w14:paraId="3EEED9DD" w14:textId="77777777" w:rsidR="00F2517E" w:rsidRPr="004A37F3" w:rsidRDefault="00F2517E" w:rsidP="00F2517E">
            <w:pPr>
              <w:pStyle w:val="ListParagraph"/>
              <w:rPr>
                <w:rFonts w:ascii="Arial" w:hAnsi="Arial"/>
                <w:sz w:val="22"/>
                <w:szCs w:val="22"/>
                <w:lang w:eastAsia="en-US"/>
              </w:rPr>
            </w:pPr>
          </w:p>
          <w:p w14:paraId="42AF5A8D" w14:textId="2E5A492F" w:rsidR="004A7D30" w:rsidRDefault="004A7D30" w:rsidP="004A37F3">
            <w:pPr>
              <w:pStyle w:val="ListParagraph"/>
              <w:numPr>
                <w:ilvl w:val="0"/>
                <w:numId w:val="11"/>
              </w:numPr>
              <w:rPr>
                <w:rFonts w:ascii="Arial" w:hAnsi="Arial"/>
                <w:sz w:val="22"/>
                <w:szCs w:val="22"/>
                <w:lang w:eastAsia="en-US"/>
              </w:rPr>
            </w:pPr>
            <w:r w:rsidRPr="004A37F3">
              <w:rPr>
                <w:rFonts w:ascii="Arial" w:hAnsi="Arial"/>
                <w:sz w:val="22"/>
                <w:szCs w:val="22"/>
                <w:lang w:eastAsia="en-US"/>
              </w:rPr>
              <w:t>Continue with quarterly 1:1 with training hub advanced practice leads and support as needed</w:t>
            </w:r>
          </w:p>
          <w:p w14:paraId="700B41B7" w14:textId="77777777" w:rsidR="00F2517E" w:rsidRPr="004A37F3" w:rsidRDefault="00F2517E" w:rsidP="00F2517E">
            <w:pPr>
              <w:pStyle w:val="ListParagraph"/>
              <w:rPr>
                <w:rFonts w:ascii="Arial" w:hAnsi="Arial"/>
                <w:sz w:val="22"/>
                <w:szCs w:val="22"/>
                <w:lang w:eastAsia="en-US"/>
              </w:rPr>
            </w:pPr>
          </w:p>
          <w:p w14:paraId="1AFECE8B" w14:textId="77777777" w:rsidR="000D24D8" w:rsidRPr="004A37F3" w:rsidRDefault="004A7D30" w:rsidP="004A37F3">
            <w:pPr>
              <w:pStyle w:val="ListParagraph"/>
              <w:numPr>
                <w:ilvl w:val="0"/>
                <w:numId w:val="11"/>
              </w:numPr>
              <w:rPr>
                <w:rFonts w:ascii="Arial" w:hAnsi="Arial"/>
                <w:sz w:val="22"/>
                <w:szCs w:val="22"/>
                <w:lang w:eastAsia="en-US"/>
              </w:rPr>
            </w:pPr>
            <w:r w:rsidRPr="004A37F3">
              <w:rPr>
                <w:rFonts w:ascii="Arial" w:hAnsi="Arial"/>
                <w:sz w:val="22"/>
                <w:szCs w:val="22"/>
                <w:lang w:eastAsia="en-US"/>
              </w:rPr>
              <w:t>Continue with quarterly cross-regional advanced practice TPD network</w:t>
            </w:r>
          </w:p>
          <w:p w14:paraId="680BE777" w14:textId="08B4F905" w:rsidR="004A7D30" w:rsidRPr="00356AB2" w:rsidRDefault="004A7D30" w:rsidP="004A7D30">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t>Future Outlook (Upcoming priorities, initiatives, or areas of focus)</w:t>
            </w:r>
          </w:p>
        </w:tc>
      </w:tr>
      <w:tr w:rsidR="00C45AAD" w:rsidRPr="00356AB2" w14:paraId="2E2C9E02" w14:textId="77777777">
        <w:trPr>
          <w:trHeight w:val="385"/>
        </w:trPr>
        <w:tc>
          <w:tcPr>
            <w:tcW w:w="13670" w:type="dxa"/>
            <w:gridSpan w:val="4"/>
            <w:tcBorders>
              <w:right w:val="single" w:sz="4" w:space="0" w:color="auto"/>
            </w:tcBorders>
            <w:shd w:val="clear" w:color="auto" w:fill="auto"/>
          </w:tcPr>
          <w:p w14:paraId="28F831DF" w14:textId="77777777" w:rsidR="004A7D30" w:rsidRPr="004A37F3" w:rsidRDefault="004A7D30" w:rsidP="004A37F3">
            <w:pPr>
              <w:pStyle w:val="ListParagraph"/>
              <w:rPr>
                <w:rFonts w:ascii="Arial" w:hAnsi="Arial"/>
                <w:sz w:val="22"/>
                <w:szCs w:val="22"/>
                <w:lang w:eastAsia="en-US"/>
              </w:rPr>
            </w:pPr>
          </w:p>
          <w:p w14:paraId="345E0568" w14:textId="3C82577E" w:rsidR="00C45AAD" w:rsidRDefault="004A7D30" w:rsidP="004A37F3">
            <w:pPr>
              <w:pStyle w:val="ListParagraph"/>
              <w:numPr>
                <w:ilvl w:val="0"/>
                <w:numId w:val="12"/>
              </w:numPr>
              <w:rPr>
                <w:rFonts w:ascii="Arial" w:hAnsi="Arial"/>
                <w:sz w:val="22"/>
                <w:szCs w:val="22"/>
                <w:lang w:eastAsia="en-US"/>
              </w:rPr>
            </w:pPr>
            <w:r w:rsidRPr="004A37F3">
              <w:rPr>
                <w:rFonts w:ascii="Arial" w:hAnsi="Arial"/>
                <w:sz w:val="22"/>
                <w:szCs w:val="22"/>
                <w:lang w:eastAsia="en-US"/>
              </w:rPr>
              <w:t>Launch Supervisor Training Programme resources</w:t>
            </w:r>
            <w:r w:rsidR="005C190B" w:rsidRPr="004A37F3">
              <w:rPr>
                <w:rFonts w:ascii="Arial" w:hAnsi="Arial"/>
                <w:sz w:val="22"/>
                <w:szCs w:val="22"/>
                <w:lang w:eastAsia="en-US"/>
              </w:rPr>
              <w:t xml:space="preserve"> and support those training hubs who pick up and deliver the resources</w:t>
            </w:r>
          </w:p>
          <w:p w14:paraId="3BC33D96" w14:textId="77777777" w:rsidR="00F2517E" w:rsidRPr="004A37F3" w:rsidRDefault="00F2517E" w:rsidP="00F2517E">
            <w:pPr>
              <w:pStyle w:val="ListParagraph"/>
              <w:rPr>
                <w:rFonts w:ascii="Arial" w:hAnsi="Arial"/>
                <w:sz w:val="22"/>
                <w:szCs w:val="22"/>
                <w:lang w:eastAsia="en-US"/>
              </w:rPr>
            </w:pPr>
          </w:p>
          <w:p w14:paraId="55D3720D" w14:textId="29B6B75D" w:rsidR="00C45AAD" w:rsidRPr="004A37F3" w:rsidRDefault="004A7D30" w:rsidP="004A37F3">
            <w:pPr>
              <w:pStyle w:val="ListParagraph"/>
              <w:numPr>
                <w:ilvl w:val="0"/>
                <w:numId w:val="12"/>
              </w:numPr>
              <w:rPr>
                <w:rFonts w:ascii="Arial" w:hAnsi="Arial"/>
                <w:sz w:val="22"/>
                <w:szCs w:val="22"/>
                <w:lang w:eastAsia="en-US"/>
              </w:rPr>
            </w:pPr>
            <w:r w:rsidRPr="004A37F3">
              <w:rPr>
                <w:rFonts w:ascii="Arial" w:hAnsi="Arial"/>
                <w:sz w:val="22"/>
                <w:szCs w:val="22"/>
                <w:lang w:eastAsia="en-US"/>
              </w:rPr>
              <w:t>Continue to support training hubs, especially those who may have decreased capacity or no dedicated advanced practice lead</w:t>
            </w: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40D0EDF2" w:rsidR="000D24D8" w:rsidRDefault="000D24D8" w:rsidP="000D24D8">
            <w:pPr>
              <w:tabs>
                <w:tab w:val="left" w:pos="5730"/>
              </w:tabs>
              <w:rPr>
                <w:rFonts w:ascii="Arial" w:hAnsi="Arial"/>
                <w:sz w:val="22"/>
                <w:szCs w:val="22"/>
                <w:lang w:eastAsia="en-US"/>
              </w:rPr>
            </w:pP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2E2E" w14:textId="77777777" w:rsidR="00E76BFF" w:rsidRDefault="00E76BFF" w:rsidP="00C45AAD">
      <w:r>
        <w:separator/>
      </w:r>
    </w:p>
  </w:endnote>
  <w:endnote w:type="continuationSeparator" w:id="0">
    <w:p w14:paraId="09C0E943" w14:textId="77777777" w:rsidR="00E76BFF" w:rsidRDefault="00E76BFF" w:rsidP="00C45AAD">
      <w:r>
        <w:continuationSeparator/>
      </w:r>
    </w:p>
  </w:endnote>
  <w:endnote w:type="continuationNotice" w:id="1">
    <w:p w14:paraId="51DD181B" w14:textId="77777777" w:rsidR="00E76BFF" w:rsidRDefault="00E76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5DF1" w14:textId="77777777" w:rsidR="00E76BFF" w:rsidRDefault="00E76BFF" w:rsidP="00C45AAD">
      <w:r>
        <w:separator/>
      </w:r>
    </w:p>
  </w:footnote>
  <w:footnote w:type="continuationSeparator" w:id="0">
    <w:p w14:paraId="607A54DE" w14:textId="77777777" w:rsidR="00E76BFF" w:rsidRDefault="00E76BFF" w:rsidP="00C45AAD">
      <w:r>
        <w:continuationSeparator/>
      </w:r>
    </w:p>
  </w:footnote>
  <w:footnote w:type="continuationNotice" w:id="1">
    <w:p w14:paraId="40C4D7AD" w14:textId="77777777" w:rsidR="00E76BFF" w:rsidRDefault="00E76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063A1032"/>
    <w:multiLevelType w:val="hybridMultilevel"/>
    <w:tmpl w:val="1B0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4344"/>
    <w:multiLevelType w:val="hybridMultilevel"/>
    <w:tmpl w:val="9546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E690B"/>
    <w:multiLevelType w:val="hybridMultilevel"/>
    <w:tmpl w:val="461E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A72C9"/>
    <w:multiLevelType w:val="hybridMultilevel"/>
    <w:tmpl w:val="9BA0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58C7"/>
    <w:multiLevelType w:val="hybridMultilevel"/>
    <w:tmpl w:val="2C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214C8"/>
    <w:multiLevelType w:val="hybridMultilevel"/>
    <w:tmpl w:val="D0AE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82144"/>
    <w:multiLevelType w:val="hybridMultilevel"/>
    <w:tmpl w:val="DDC6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70B9E"/>
    <w:multiLevelType w:val="hybridMultilevel"/>
    <w:tmpl w:val="E05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54DE9"/>
    <w:multiLevelType w:val="hybridMultilevel"/>
    <w:tmpl w:val="FC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24E3D"/>
    <w:multiLevelType w:val="hybridMultilevel"/>
    <w:tmpl w:val="6CC2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012515">
    <w:abstractNumId w:val="0"/>
  </w:num>
  <w:num w:numId="2" w16cid:durableId="586576878">
    <w:abstractNumId w:val="1"/>
  </w:num>
  <w:num w:numId="3" w16cid:durableId="451486942">
    <w:abstractNumId w:val="4"/>
  </w:num>
  <w:num w:numId="4" w16cid:durableId="946278988">
    <w:abstractNumId w:val="6"/>
  </w:num>
  <w:num w:numId="5" w16cid:durableId="1380209347">
    <w:abstractNumId w:val="8"/>
  </w:num>
  <w:num w:numId="6" w16cid:durableId="2140099584">
    <w:abstractNumId w:val="7"/>
  </w:num>
  <w:num w:numId="7" w16cid:durableId="1937859180">
    <w:abstractNumId w:val="2"/>
  </w:num>
  <w:num w:numId="8" w16cid:durableId="521671263">
    <w:abstractNumId w:val="3"/>
  </w:num>
  <w:num w:numId="9" w16cid:durableId="920335402">
    <w:abstractNumId w:val="10"/>
  </w:num>
  <w:num w:numId="10" w16cid:durableId="512186663">
    <w:abstractNumId w:val="9"/>
  </w:num>
  <w:num w:numId="11" w16cid:durableId="503938662">
    <w:abstractNumId w:val="11"/>
  </w:num>
  <w:num w:numId="12" w16cid:durableId="274143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28BC"/>
    <w:rsid w:val="0004253A"/>
    <w:rsid w:val="00046774"/>
    <w:rsid w:val="000B78D1"/>
    <w:rsid w:val="000D24D8"/>
    <w:rsid w:val="00110596"/>
    <w:rsid w:val="00111DD7"/>
    <w:rsid w:val="001323F1"/>
    <w:rsid w:val="00231BDE"/>
    <w:rsid w:val="002430F2"/>
    <w:rsid w:val="002778B7"/>
    <w:rsid w:val="002A7600"/>
    <w:rsid w:val="00301695"/>
    <w:rsid w:val="00356AB2"/>
    <w:rsid w:val="00356CAA"/>
    <w:rsid w:val="003D3D45"/>
    <w:rsid w:val="00424E6D"/>
    <w:rsid w:val="00451ABF"/>
    <w:rsid w:val="004A37F3"/>
    <w:rsid w:val="004A49AA"/>
    <w:rsid w:val="004A7D30"/>
    <w:rsid w:val="004E056C"/>
    <w:rsid w:val="0055013F"/>
    <w:rsid w:val="0057299A"/>
    <w:rsid w:val="005C190B"/>
    <w:rsid w:val="007101E7"/>
    <w:rsid w:val="007103C0"/>
    <w:rsid w:val="007711A5"/>
    <w:rsid w:val="0079249C"/>
    <w:rsid w:val="007B11AA"/>
    <w:rsid w:val="007D0808"/>
    <w:rsid w:val="007E1555"/>
    <w:rsid w:val="007E17F4"/>
    <w:rsid w:val="00811735"/>
    <w:rsid w:val="00826FF7"/>
    <w:rsid w:val="00845DBD"/>
    <w:rsid w:val="009076B4"/>
    <w:rsid w:val="00A468A6"/>
    <w:rsid w:val="00A60F73"/>
    <w:rsid w:val="00A8774B"/>
    <w:rsid w:val="00AF622F"/>
    <w:rsid w:val="00C3791C"/>
    <w:rsid w:val="00C45AAD"/>
    <w:rsid w:val="00C9491D"/>
    <w:rsid w:val="00CE19E7"/>
    <w:rsid w:val="00D33473"/>
    <w:rsid w:val="00D43F41"/>
    <w:rsid w:val="00D51EFC"/>
    <w:rsid w:val="00D9126F"/>
    <w:rsid w:val="00DB02E1"/>
    <w:rsid w:val="00DB225B"/>
    <w:rsid w:val="00E02C6A"/>
    <w:rsid w:val="00E167A0"/>
    <w:rsid w:val="00E16D50"/>
    <w:rsid w:val="00E24E50"/>
    <w:rsid w:val="00E5011F"/>
    <w:rsid w:val="00E50EEA"/>
    <w:rsid w:val="00E5737A"/>
    <w:rsid w:val="00E76BFF"/>
    <w:rsid w:val="00F2517E"/>
    <w:rsid w:val="00F55668"/>
    <w:rsid w:val="00F62152"/>
    <w:rsid w:val="00F65061"/>
    <w:rsid w:val="00FD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515F584D-60F7-4BA2-BA98-141AD573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paragraph" w:styleId="ListParagraph">
    <w:name w:val="List Paragraph"/>
    <w:basedOn w:val="Normal"/>
    <w:uiPriority w:val="34"/>
    <w:qFormat/>
    <w:rsid w:val="00F5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251DAC"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10596"/>
    <w:rsid w:val="00251DAC"/>
    <w:rsid w:val="0027583D"/>
    <w:rsid w:val="0055013F"/>
    <w:rsid w:val="005C74A8"/>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TREVERTON, Kimberly (NHS ENGLAND - T1510)</cp:lastModifiedBy>
  <cp:revision>21</cp:revision>
  <dcterms:created xsi:type="dcterms:W3CDTF">2024-10-21T19:50:00Z</dcterms:created>
  <dcterms:modified xsi:type="dcterms:W3CDTF">2024-10-28T17:46:00Z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