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F6B" w:rsidRDefault="00513F6B" w:rsidP="00513F6B">
      <w:pPr>
        <w:tabs>
          <w:tab w:val="center" w:pos="5040"/>
          <w:tab w:val="right" w:pos="9006"/>
        </w:tabs>
      </w:pPr>
      <w:r>
        <w:t xml:space="preserve"> </w:t>
      </w:r>
      <w:r>
        <w:tab/>
      </w:r>
      <w:r>
        <w:tab/>
      </w:r>
      <w:bookmarkStart w:id="0" w:name="_GoBack"/>
      <w:bookmarkEnd w:id="0"/>
    </w:p>
    <w:p w:rsidR="00513F6B" w:rsidRDefault="00513F6B" w:rsidP="00513F6B">
      <w:pPr>
        <w:jc w:val="center"/>
        <w:rPr>
          <w:b/>
          <w:sz w:val="28"/>
        </w:rPr>
      </w:pPr>
    </w:p>
    <w:p w:rsidR="00513F6B" w:rsidRDefault="00513F6B" w:rsidP="00513F6B">
      <w:pPr>
        <w:jc w:val="center"/>
        <w:rPr>
          <w:b/>
          <w:sz w:val="28"/>
        </w:rPr>
      </w:pPr>
      <w:r>
        <w:rPr>
          <w:b/>
          <w:sz w:val="28"/>
        </w:rPr>
        <w:t>East Anglia Foundation School</w:t>
      </w:r>
    </w:p>
    <w:p w:rsidR="00513F6B" w:rsidRDefault="00513F6B" w:rsidP="00513F6B">
      <w:pPr>
        <w:jc w:val="center"/>
        <w:rPr>
          <w:b/>
          <w:sz w:val="28"/>
        </w:rPr>
      </w:pPr>
      <w:r>
        <w:rPr>
          <w:b/>
          <w:sz w:val="28"/>
        </w:rPr>
        <w:t xml:space="preserve">Individual Placement Description </w:t>
      </w:r>
    </w:p>
    <w:p w:rsidR="00513F6B" w:rsidRDefault="00513F6B" w:rsidP="00513F6B">
      <w:pPr>
        <w:jc w:val="center"/>
        <w:rPr>
          <w:b/>
          <w:sz w:val="28"/>
        </w:rPr>
      </w:pPr>
    </w:p>
    <w:p w:rsidR="00513F6B" w:rsidRDefault="00513F6B" w:rsidP="00513F6B">
      <w:pPr>
        <w:jc w:val="center"/>
        <w:rPr>
          <w:b/>
          <w:sz w:val="28"/>
        </w:rPr>
      </w:pPr>
      <w:r>
        <w:rPr>
          <w:b/>
          <w:sz w:val="28"/>
        </w:rPr>
        <w:t>West Suffolk Hospital NHS Trust</w:t>
      </w:r>
    </w:p>
    <w:p w:rsidR="00513F6B" w:rsidRDefault="00513F6B" w:rsidP="00513F6B">
      <w:pPr>
        <w:rPr>
          <w:b/>
          <w:sz w:val="22"/>
        </w:rPr>
      </w:pPr>
    </w:p>
    <w:p w:rsidR="00513F6B" w:rsidRDefault="00513F6B" w:rsidP="00513F6B">
      <w:pPr>
        <w:rPr>
          <w:b/>
          <w:sz w:val="22"/>
        </w:rPr>
      </w:pPr>
    </w:p>
    <w:tbl>
      <w:tblPr>
        <w:tblW w:w="0" w:type="auto"/>
        <w:tblInd w:w="108" w:type="dxa"/>
        <w:shd w:val="clear" w:color="auto" w:fill="FFFFFF"/>
        <w:tblLayout w:type="fixed"/>
        <w:tblLook w:val="04A0" w:firstRow="1" w:lastRow="0" w:firstColumn="1" w:lastColumn="0" w:noHBand="0" w:noVBand="1"/>
      </w:tblPr>
      <w:tblGrid>
        <w:gridCol w:w="3851"/>
        <w:gridCol w:w="4177"/>
      </w:tblGrid>
      <w:tr w:rsidR="00513F6B" w:rsidTr="00513F6B">
        <w:trPr>
          <w:cantSplit/>
          <w:trHeight w:val="540"/>
        </w:trPr>
        <w:tc>
          <w:tcPr>
            <w:tcW w:w="3851" w:type="dxa"/>
            <w:tcBorders>
              <w:top w:val="nil"/>
              <w:left w:val="nil"/>
              <w:bottom w:val="nil"/>
              <w:right w:val="nil"/>
            </w:tcBorders>
            <w:shd w:val="clear" w:color="auto" w:fill="FFFFFF"/>
            <w:tcMar>
              <w:top w:w="0" w:type="dxa"/>
              <w:left w:w="0" w:type="dxa"/>
              <w:bottom w:w="0" w:type="dxa"/>
              <w:right w:w="0" w:type="dxa"/>
            </w:tcMar>
            <w:hideMark/>
          </w:tcPr>
          <w:p w:rsidR="00513F6B" w:rsidRDefault="00513F6B">
            <w:pPr>
              <w:jc w:val="both"/>
              <w:rPr>
                <w:rFonts w:eastAsia="ヒラギノ角ゴ Pro W3"/>
                <w:b/>
                <w:color w:val="000000"/>
                <w:sz w:val="22"/>
                <w:lang w:val="en-US" w:eastAsia="en-US"/>
              </w:rPr>
            </w:pPr>
            <w:r>
              <w:rPr>
                <w:b/>
                <w:sz w:val="22"/>
              </w:rPr>
              <w:t>Placement</w:t>
            </w:r>
          </w:p>
        </w:tc>
        <w:tc>
          <w:tcPr>
            <w:tcW w:w="4177" w:type="dxa"/>
            <w:tcBorders>
              <w:top w:val="nil"/>
              <w:left w:val="nil"/>
              <w:bottom w:val="nil"/>
              <w:right w:val="nil"/>
            </w:tcBorders>
            <w:shd w:val="clear" w:color="auto" w:fill="FFFFFF"/>
            <w:tcMar>
              <w:top w:w="0" w:type="dxa"/>
              <w:left w:w="0" w:type="dxa"/>
              <w:bottom w:w="0" w:type="dxa"/>
              <w:right w:w="0" w:type="dxa"/>
            </w:tcMar>
          </w:tcPr>
          <w:p w:rsidR="00513F6B" w:rsidRDefault="00513F6B">
            <w:pPr>
              <w:jc w:val="both"/>
              <w:rPr>
                <w:rFonts w:eastAsia="ヒラギノ角ゴ Pro W3"/>
                <w:color w:val="000000"/>
                <w:lang w:val="en-US" w:eastAsia="en-US"/>
              </w:rPr>
            </w:pPr>
            <w:r>
              <w:t>FY2 Obstetrics and Gynaecology</w:t>
            </w:r>
          </w:p>
          <w:p w:rsidR="00513F6B" w:rsidRDefault="00513F6B">
            <w:pPr>
              <w:jc w:val="both"/>
              <w:rPr>
                <w:rFonts w:ascii="Lucida Grande" w:eastAsia="ヒラギノ角ゴ Pro W3" w:hAnsi="Lucida Grande"/>
                <w:color w:val="000000"/>
                <w:lang w:val="en-US" w:eastAsia="en-US"/>
              </w:rPr>
            </w:pPr>
          </w:p>
        </w:tc>
      </w:tr>
      <w:tr w:rsidR="00513F6B" w:rsidTr="00513F6B">
        <w:trPr>
          <w:cantSplit/>
          <w:trHeight w:val="2220"/>
        </w:trPr>
        <w:tc>
          <w:tcPr>
            <w:tcW w:w="3851" w:type="dxa"/>
            <w:tcBorders>
              <w:top w:val="nil"/>
              <w:left w:val="nil"/>
              <w:bottom w:val="nil"/>
              <w:right w:val="nil"/>
            </w:tcBorders>
            <w:shd w:val="clear" w:color="auto" w:fill="FFFFFF"/>
            <w:tcMar>
              <w:top w:w="0" w:type="dxa"/>
              <w:left w:w="0" w:type="dxa"/>
              <w:bottom w:w="0" w:type="dxa"/>
              <w:right w:w="0" w:type="dxa"/>
            </w:tcMar>
            <w:hideMark/>
          </w:tcPr>
          <w:p w:rsidR="00513F6B" w:rsidRDefault="00513F6B">
            <w:pPr>
              <w:rPr>
                <w:rFonts w:eastAsia="ヒラギノ角ゴ Pro W3"/>
                <w:b/>
                <w:color w:val="000000"/>
                <w:sz w:val="22"/>
                <w:lang w:val="en-US" w:eastAsia="en-US"/>
              </w:rPr>
            </w:pPr>
            <w:r>
              <w:rPr>
                <w:b/>
                <w:sz w:val="22"/>
              </w:rPr>
              <w:t>The department</w:t>
            </w:r>
          </w:p>
        </w:tc>
        <w:tc>
          <w:tcPr>
            <w:tcW w:w="4177" w:type="dxa"/>
            <w:tcBorders>
              <w:top w:val="nil"/>
              <w:left w:val="nil"/>
              <w:bottom w:val="nil"/>
              <w:right w:val="nil"/>
            </w:tcBorders>
            <w:shd w:val="clear" w:color="auto" w:fill="FFFFFF"/>
            <w:tcMar>
              <w:top w:w="0" w:type="dxa"/>
              <w:left w:w="0" w:type="dxa"/>
              <w:bottom w:w="0" w:type="dxa"/>
              <w:right w:w="0" w:type="dxa"/>
            </w:tcMar>
          </w:tcPr>
          <w:p w:rsidR="00513F6B" w:rsidRDefault="00513F6B">
            <w:pPr>
              <w:rPr>
                <w:rFonts w:eastAsia="ヒラギノ角ゴ Pro W3"/>
                <w:color w:val="000000"/>
                <w:lang w:val="en-US" w:eastAsia="en-US"/>
              </w:rPr>
            </w:pPr>
            <w:r>
              <w:t xml:space="preserve">West Suffolk Hospital NHS Trust, Department of Obstetrics and Gynaecology: small department with 6 consultants, labour ward with around 10 beds (plus midwife lead unit), 8 bedded </w:t>
            </w:r>
            <w:proofErr w:type="spellStart"/>
            <w:r>
              <w:t>gynae</w:t>
            </w:r>
            <w:proofErr w:type="spellEnd"/>
            <w:r>
              <w:t xml:space="preserve"> ward, busy outpatient department.  </w:t>
            </w:r>
          </w:p>
          <w:p w:rsidR="00513F6B" w:rsidRDefault="00513F6B">
            <w:pPr>
              <w:rPr>
                <w:rFonts w:ascii="Lucida Grande" w:eastAsia="ヒラギノ角ゴ Pro W3" w:hAnsi="Lucida Grande"/>
                <w:color w:val="000000"/>
                <w:lang w:val="en-US" w:eastAsia="en-US"/>
              </w:rPr>
            </w:pPr>
          </w:p>
        </w:tc>
      </w:tr>
      <w:tr w:rsidR="00513F6B" w:rsidTr="00513F6B">
        <w:trPr>
          <w:cantSplit/>
          <w:trHeight w:val="3060"/>
        </w:trPr>
        <w:tc>
          <w:tcPr>
            <w:tcW w:w="3851" w:type="dxa"/>
            <w:tcBorders>
              <w:top w:val="nil"/>
              <w:left w:val="nil"/>
              <w:bottom w:val="nil"/>
              <w:right w:val="nil"/>
            </w:tcBorders>
            <w:shd w:val="clear" w:color="auto" w:fill="FFFFFF"/>
            <w:tcMar>
              <w:top w:w="0" w:type="dxa"/>
              <w:left w:w="0" w:type="dxa"/>
              <w:bottom w:w="0" w:type="dxa"/>
              <w:right w:w="0" w:type="dxa"/>
            </w:tcMar>
            <w:hideMark/>
          </w:tcPr>
          <w:p w:rsidR="00513F6B" w:rsidRDefault="00513F6B">
            <w:pPr>
              <w:rPr>
                <w:rFonts w:eastAsia="ヒラギノ角ゴ Pro W3"/>
                <w:b/>
                <w:color w:val="000000"/>
                <w:sz w:val="22"/>
                <w:lang w:val="en-US" w:eastAsia="en-US"/>
              </w:rPr>
            </w:pPr>
            <w:r>
              <w:rPr>
                <w:b/>
                <w:sz w:val="22"/>
              </w:rPr>
              <w:t>The type of work to expect and learning opportunities</w:t>
            </w:r>
          </w:p>
        </w:tc>
        <w:tc>
          <w:tcPr>
            <w:tcW w:w="4177" w:type="dxa"/>
            <w:tcBorders>
              <w:top w:val="nil"/>
              <w:left w:val="nil"/>
              <w:bottom w:val="nil"/>
              <w:right w:val="nil"/>
            </w:tcBorders>
            <w:shd w:val="clear" w:color="auto" w:fill="FFFFFF"/>
            <w:tcMar>
              <w:top w:w="0" w:type="dxa"/>
              <w:left w:w="0" w:type="dxa"/>
              <w:bottom w:w="0" w:type="dxa"/>
              <w:right w:w="0" w:type="dxa"/>
            </w:tcMar>
          </w:tcPr>
          <w:p w:rsidR="00513F6B" w:rsidRDefault="00513F6B">
            <w:pPr>
              <w:rPr>
                <w:rFonts w:eastAsia="ヒラギノ角ゴ Pro W3"/>
                <w:color w:val="000000"/>
                <w:lang w:val="en-US" w:eastAsia="en-US"/>
              </w:rPr>
            </w:pPr>
            <w:r>
              <w:t>Excellent learning opportunities for those interested in O&amp;G or surgery.  Ample time and flexibility in rota, with lots of opportunity to assist in theatre as well as attending many clinics.  Most acute experience for FY2s is in gynaecology.  There are opportunities in acute obstetrics for those who are interested, but in general it is registrar and consultant led.</w:t>
            </w:r>
          </w:p>
          <w:p w:rsidR="00513F6B" w:rsidRDefault="00513F6B">
            <w:pPr>
              <w:rPr>
                <w:rFonts w:ascii="Lucida Grande" w:eastAsia="ヒラギノ角ゴ Pro W3" w:hAnsi="Lucida Grande"/>
                <w:color w:val="000000"/>
                <w:lang w:val="en-US" w:eastAsia="en-US"/>
              </w:rPr>
            </w:pPr>
          </w:p>
        </w:tc>
      </w:tr>
      <w:tr w:rsidR="00513F6B" w:rsidTr="00513F6B">
        <w:trPr>
          <w:cantSplit/>
          <w:trHeight w:val="1100"/>
        </w:trPr>
        <w:tc>
          <w:tcPr>
            <w:tcW w:w="3851" w:type="dxa"/>
            <w:tcBorders>
              <w:top w:val="nil"/>
              <w:left w:val="nil"/>
              <w:bottom w:val="nil"/>
              <w:right w:val="nil"/>
            </w:tcBorders>
            <w:shd w:val="clear" w:color="auto" w:fill="FFFFFF"/>
            <w:tcMar>
              <w:top w:w="0" w:type="dxa"/>
              <w:left w:w="0" w:type="dxa"/>
              <w:bottom w:w="0" w:type="dxa"/>
              <w:right w:w="0" w:type="dxa"/>
            </w:tcMar>
            <w:hideMark/>
          </w:tcPr>
          <w:p w:rsidR="00513F6B" w:rsidRDefault="00513F6B">
            <w:pPr>
              <w:jc w:val="both"/>
              <w:rPr>
                <w:rFonts w:eastAsia="ヒラギノ角ゴ Pro W3"/>
                <w:b/>
                <w:color w:val="000000"/>
                <w:sz w:val="22"/>
                <w:lang w:val="en-US" w:eastAsia="en-US"/>
              </w:rPr>
            </w:pPr>
            <w:r>
              <w:rPr>
                <w:b/>
                <w:sz w:val="22"/>
              </w:rPr>
              <w:t>Where the placement is based</w:t>
            </w:r>
          </w:p>
        </w:tc>
        <w:tc>
          <w:tcPr>
            <w:tcW w:w="4177" w:type="dxa"/>
            <w:tcBorders>
              <w:top w:val="nil"/>
              <w:left w:val="nil"/>
              <w:bottom w:val="nil"/>
              <w:right w:val="nil"/>
            </w:tcBorders>
            <w:shd w:val="clear" w:color="auto" w:fill="FFFFFF"/>
            <w:tcMar>
              <w:top w:w="0" w:type="dxa"/>
              <w:left w:w="0" w:type="dxa"/>
              <w:bottom w:w="0" w:type="dxa"/>
              <w:right w:w="0" w:type="dxa"/>
            </w:tcMar>
            <w:hideMark/>
          </w:tcPr>
          <w:p w:rsidR="00513F6B" w:rsidRDefault="00513F6B">
            <w:pPr>
              <w:jc w:val="both"/>
              <w:rPr>
                <w:rFonts w:eastAsia="ヒラギノ角ゴ Pro W3"/>
                <w:color w:val="000000"/>
                <w:lang w:val="en-US" w:eastAsia="en-US"/>
              </w:rPr>
            </w:pPr>
            <w:proofErr w:type="spellStart"/>
            <w:r>
              <w:t>Gyane</w:t>
            </w:r>
            <w:proofErr w:type="spellEnd"/>
            <w:r>
              <w:t xml:space="preserve"> outpatient department, F12 (</w:t>
            </w:r>
            <w:proofErr w:type="spellStart"/>
            <w:r>
              <w:t>gynae</w:t>
            </w:r>
            <w:proofErr w:type="spellEnd"/>
            <w:r>
              <w:t>) ward, A&amp;E, F11 (ante/postnatal ward) and Central Delivery Suite.</w:t>
            </w:r>
          </w:p>
        </w:tc>
      </w:tr>
      <w:tr w:rsidR="00513F6B" w:rsidTr="00513F6B">
        <w:trPr>
          <w:cantSplit/>
          <w:trHeight w:val="740"/>
        </w:trPr>
        <w:tc>
          <w:tcPr>
            <w:tcW w:w="3851" w:type="dxa"/>
            <w:tcBorders>
              <w:top w:val="nil"/>
              <w:left w:val="nil"/>
              <w:bottom w:val="nil"/>
              <w:right w:val="nil"/>
            </w:tcBorders>
            <w:shd w:val="clear" w:color="auto" w:fill="FFFFFF"/>
            <w:tcMar>
              <w:top w:w="0" w:type="dxa"/>
              <w:left w:w="0" w:type="dxa"/>
              <w:bottom w:w="0" w:type="dxa"/>
              <w:right w:w="0" w:type="dxa"/>
            </w:tcMar>
            <w:hideMark/>
          </w:tcPr>
          <w:p w:rsidR="00513F6B" w:rsidRDefault="00513F6B">
            <w:pPr>
              <w:jc w:val="both"/>
              <w:rPr>
                <w:rFonts w:eastAsia="ヒラギノ角ゴ Pro W3"/>
                <w:b/>
                <w:color w:val="000000"/>
                <w:sz w:val="22"/>
                <w:lang w:val="en-US" w:eastAsia="en-US"/>
              </w:rPr>
            </w:pPr>
            <w:r>
              <w:rPr>
                <w:b/>
                <w:sz w:val="22"/>
              </w:rPr>
              <w:t>Clinical Supervisor(s) for the placement</w:t>
            </w:r>
          </w:p>
        </w:tc>
        <w:tc>
          <w:tcPr>
            <w:tcW w:w="4177" w:type="dxa"/>
            <w:tcBorders>
              <w:top w:val="nil"/>
              <w:left w:val="nil"/>
              <w:bottom w:val="nil"/>
              <w:right w:val="nil"/>
            </w:tcBorders>
            <w:shd w:val="clear" w:color="auto" w:fill="FFFFFF"/>
            <w:tcMar>
              <w:top w:w="0" w:type="dxa"/>
              <w:left w:w="0" w:type="dxa"/>
              <w:bottom w:w="0" w:type="dxa"/>
              <w:right w:w="0" w:type="dxa"/>
            </w:tcMar>
          </w:tcPr>
          <w:p w:rsidR="00513F6B" w:rsidRDefault="00513F6B">
            <w:pPr>
              <w:jc w:val="both"/>
              <w:rPr>
                <w:rFonts w:eastAsia="ヒラギノ角ゴ Pro W3"/>
                <w:color w:val="000000"/>
                <w:lang w:val="en-US" w:eastAsia="en-US"/>
              </w:rPr>
            </w:pPr>
            <w:r>
              <w:rPr>
                <w:sz w:val="22"/>
              </w:rPr>
              <w:t>Mr David Ross (though varies among trainees)</w:t>
            </w:r>
          </w:p>
          <w:p w:rsidR="00513F6B" w:rsidRDefault="00513F6B">
            <w:pPr>
              <w:jc w:val="both"/>
              <w:rPr>
                <w:rFonts w:ascii="Lucida Grande" w:eastAsia="ヒラギノ角ゴ Pro W3" w:hAnsi="Lucida Grande"/>
                <w:color w:val="000000"/>
                <w:lang w:val="en-US" w:eastAsia="en-US"/>
              </w:rPr>
            </w:pPr>
          </w:p>
        </w:tc>
      </w:tr>
      <w:tr w:rsidR="00513F6B" w:rsidTr="00513F6B">
        <w:trPr>
          <w:cantSplit/>
          <w:trHeight w:val="4460"/>
        </w:trPr>
        <w:tc>
          <w:tcPr>
            <w:tcW w:w="3851" w:type="dxa"/>
            <w:tcBorders>
              <w:top w:val="nil"/>
              <w:left w:val="nil"/>
              <w:bottom w:val="nil"/>
              <w:right w:val="nil"/>
            </w:tcBorders>
            <w:shd w:val="clear" w:color="auto" w:fill="FFFFFF"/>
            <w:tcMar>
              <w:top w:w="0" w:type="dxa"/>
              <w:left w:w="0" w:type="dxa"/>
              <w:bottom w:w="0" w:type="dxa"/>
              <w:right w:w="0" w:type="dxa"/>
            </w:tcMar>
            <w:hideMark/>
          </w:tcPr>
          <w:p w:rsidR="00513F6B" w:rsidRDefault="00513F6B">
            <w:pPr>
              <w:rPr>
                <w:rFonts w:eastAsia="ヒラギノ角ゴ Pro W3"/>
                <w:b/>
                <w:color w:val="000000"/>
                <w:sz w:val="22"/>
                <w:lang w:val="en-US" w:eastAsia="en-US"/>
              </w:rPr>
            </w:pPr>
            <w:r>
              <w:rPr>
                <w:b/>
                <w:sz w:val="22"/>
              </w:rPr>
              <w:lastRenderedPageBreak/>
              <w:t>Main duties of the placement</w:t>
            </w:r>
          </w:p>
        </w:tc>
        <w:tc>
          <w:tcPr>
            <w:tcW w:w="4177" w:type="dxa"/>
            <w:tcBorders>
              <w:top w:val="nil"/>
              <w:left w:val="nil"/>
              <w:bottom w:val="nil"/>
              <w:right w:val="nil"/>
            </w:tcBorders>
            <w:shd w:val="clear" w:color="auto" w:fill="FFFFFF"/>
            <w:tcMar>
              <w:top w:w="0" w:type="dxa"/>
              <w:left w:w="0" w:type="dxa"/>
              <w:bottom w:w="0" w:type="dxa"/>
              <w:right w:w="0" w:type="dxa"/>
            </w:tcMar>
          </w:tcPr>
          <w:p w:rsidR="00513F6B" w:rsidRDefault="00513F6B">
            <w:pPr>
              <w:jc w:val="both"/>
              <w:rPr>
                <w:rFonts w:eastAsia="ヒラギノ角ゴ Pro W3"/>
                <w:color w:val="000000"/>
                <w:lang w:val="en-US" w:eastAsia="en-US"/>
              </w:rPr>
            </w:pPr>
            <w:r>
              <w:t xml:space="preserve">1 in 4 on-calls (no nights).  When on-call: consultant ward round and completion of jobs, reviewing and managing almost all emergency </w:t>
            </w:r>
            <w:proofErr w:type="spellStart"/>
            <w:r>
              <w:t>gynae</w:t>
            </w:r>
            <w:proofErr w:type="spellEnd"/>
            <w:r>
              <w:t xml:space="preserve"> admissions,  assisting with emergency </w:t>
            </w:r>
            <w:proofErr w:type="spellStart"/>
            <w:r>
              <w:t>caesarian</w:t>
            </w:r>
            <w:proofErr w:type="spellEnd"/>
            <w:r>
              <w:t xml:space="preserve"> sections, cannulas on labour ward (little else), routine review of post-natal patients, producing discharge summaries, assisting (midwife lead) early pregnancy unit with managing miscarriage. When not on call:  assisting with elective </w:t>
            </w:r>
            <w:proofErr w:type="spellStart"/>
            <w:r>
              <w:t>caesarian</w:t>
            </w:r>
            <w:proofErr w:type="spellEnd"/>
            <w:r>
              <w:t xml:space="preserve"> sections and </w:t>
            </w:r>
            <w:proofErr w:type="spellStart"/>
            <w:r>
              <w:t>gynae</w:t>
            </w:r>
            <w:proofErr w:type="spellEnd"/>
            <w:r>
              <w:t xml:space="preserve"> theatre lists, </w:t>
            </w:r>
            <w:proofErr w:type="spellStart"/>
            <w:r>
              <w:t>gynae</w:t>
            </w:r>
            <w:proofErr w:type="spellEnd"/>
            <w:r>
              <w:t xml:space="preserve"> and antenatal clinic, assisting on-call with jobs.</w:t>
            </w:r>
          </w:p>
          <w:p w:rsidR="00513F6B" w:rsidRDefault="00513F6B">
            <w:pPr>
              <w:jc w:val="both"/>
              <w:rPr>
                <w:rFonts w:ascii="Lucida Grande" w:eastAsia="ヒラギノ角ゴ Pro W3" w:hAnsi="Lucida Grande"/>
                <w:color w:val="000000"/>
                <w:lang w:val="en-US" w:eastAsia="en-US"/>
              </w:rPr>
            </w:pPr>
          </w:p>
        </w:tc>
      </w:tr>
      <w:tr w:rsidR="00513F6B" w:rsidTr="00513F6B">
        <w:trPr>
          <w:cantSplit/>
          <w:trHeight w:val="3420"/>
        </w:trPr>
        <w:tc>
          <w:tcPr>
            <w:tcW w:w="3851" w:type="dxa"/>
            <w:tcBorders>
              <w:top w:val="nil"/>
              <w:left w:val="nil"/>
              <w:bottom w:val="nil"/>
              <w:right w:val="nil"/>
            </w:tcBorders>
            <w:shd w:val="clear" w:color="auto" w:fill="FFFFFF"/>
            <w:tcMar>
              <w:top w:w="0" w:type="dxa"/>
              <w:left w:w="0" w:type="dxa"/>
              <w:bottom w:w="0" w:type="dxa"/>
              <w:right w:w="0" w:type="dxa"/>
            </w:tcMar>
            <w:hideMark/>
          </w:tcPr>
          <w:p w:rsidR="00513F6B" w:rsidRDefault="00513F6B">
            <w:pPr>
              <w:jc w:val="both"/>
              <w:rPr>
                <w:rFonts w:eastAsia="ヒラギノ角ゴ Pro W3"/>
                <w:b/>
                <w:color w:val="000000"/>
                <w:sz w:val="22"/>
                <w:lang w:val="en-US" w:eastAsia="en-US"/>
              </w:rPr>
            </w:pPr>
            <w:r>
              <w:rPr>
                <w:b/>
                <w:sz w:val="22"/>
              </w:rPr>
              <w:t>Typical working pattern in this placement</w:t>
            </w:r>
          </w:p>
        </w:tc>
        <w:tc>
          <w:tcPr>
            <w:tcW w:w="4177" w:type="dxa"/>
            <w:tcBorders>
              <w:top w:val="nil"/>
              <w:left w:val="nil"/>
              <w:bottom w:val="nil"/>
              <w:right w:val="nil"/>
            </w:tcBorders>
            <w:shd w:val="clear" w:color="auto" w:fill="FFFFFF"/>
            <w:tcMar>
              <w:top w:w="0" w:type="dxa"/>
              <w:left w:w="0" w:type="dxa"/>
              <w:bottom w:w="0" w:type="dxa"/>
              <w:right w:w="0" w:type="dxa"/>
            </w:tcMar>
          </w:tcPr>
          <w:p w:rsidR="00513F6B" w:rsidRDefault="00513F6B">
            <w:pPr>
              <w:rPr>
                <w:rFonts w:eastAsia="ヒラギノ角ゴ Pro W3"/>
                <w:color w:val="000000"/>
                <w:lang w:val="en-US" w:eastAsia="en-US"/>
              </w:rPr>
            </w:pPr>
            <w:r>
              <w:rPr>
                <w:sz w:val="22"/>
              </w:rPr>
              <w:t>Typical working pattern in this post  e.g. ward rounds, clinics, theatre sessions</w:t>
            </w:r>
          </w:p>
          <w:p w:rsidR="00513F6B" w:rsidRDefault="00513F6B">
            <w:pPr>
              <w:rPr>
                <w:sz w:val="22"/>
              </w:rPr>
            </w:pPr>
            <w:r>
              <w:rPr>
                <w:sz w:val="22"/>
              </w:rPr>
              <w:t>Daily/weekly/monthly (if applicable):</w:t>
            </w:r>
          </w:p>
          <w:p w:rsidR="00513F6B" w:rsidRDefault="00513F6B">
            <w:r>
              <w:rPr>
                <w:sz w:val="22"/>
              </w:rPr>
              <w:t xml:space="preserve">         </w:t>
            </w:r>
          </w:p>
          <w:p w:rsidR="00513F6B" w:rsidRDefault="00513F6B"/>
          <w:p w:rsidR="00513F6B" w:rsidRDefault="00513F6B">
            <w:pPr>
              <w:rPr>
                <w:sz w:val="22"/>
              </w:rPr>
            </w:pPr>
            <w:r>
              <w:rPr>
                <w:sz w:val="22"/>
              </w:rPr>
              <w:t>1 in 4 weekends (Fri - Sun) 8.00 - 21.00</w:t>
            </w:r>
          </w:p>
          <w:p w:rsidR="00513F6B" w:rsidRDefault="00513F6B">
            <w:pPr>
              <w:rPr>
                <w:sz w:val="22"/>
              </w:rPr>
            </w:pPr>
            <w:r>
              <w:rPr>
                <w:sz w:val="22"/>
              </w:rPr>
              <w:t>1 in 4 weekdays on-call 8.00 - 21.00</w:t>
            </w:r>
          </w:p>
          <w:p w:rsidR="00513F6B" w:rsidRDefault="00513F6B">
            <w:pPr>
              <w:rPr>
                <w:sz w:val="22"/>
              </w:rPr>
            </w:pPr>
            <w:r>
              <w:rPr>
                <w:sz w:val="22"/>
              </w:rPr>
              <w:t>Approx. 8.30 - 17.00 normal day.</w:t>
            </w:r>
          </w:p>
          <w:p w:rsidR="00513F6B" w:rsidRDefault="00513F6B">
            <w:pPr>
              <w:rPr>
                <w:sz w:val="22"/>
              </w:rPr>
            </w:pPr>
            <w:r>
              <w:rPr>
                <w:sz w:val="22"/>
              </w:rPr>
              <w:t>Mondays off after a weekend</w:t>
            </w:r>
          </w:p>
          <w:p w:rsidR="00513F6B" w:rsidRDefault="00513F6B">
            <w:pPr>
              <w:rPr>
                <w:sz w:val="22"/>
              </w:rPr>
            </w:pPr>
            <w:r>
              <w:rPr>
                <w:sz w:val="22"/>
              </w:rPr>
              <w:t>Half day off each week.</w:t>
            </w:r>
          </w:p>
          <w:p w:rsidR="00513F6B" w:rsidRDefault="00513F6B">
            <w:pPr>
              <w:rPr>
                <w:sz w:val="22"/>
              </w:rPr>
            </w:pPr>
            <w:proofErr w:type="spellStart"/>
            <w:r>
              <w:rPr>
                <w:sz w:val="22"/>
              </w:rPr>
              <w:t>Rota</w:t>
            </w:r>
            <w:proofErr w:type="spellEnd"/>
            <w:r>
              <w:rPr>
                <w:sz w:val="22"/>
              </w:rPr>
              <w:t xml:space="preserve"> generally very flexible</w:t>
            </w:r>
            <w:proofErr w:type="gramStart"/>
            <w:r>
              <w:rPr>
                <w:sz w:val="22"/>
              </w:rPr>
              <w:t>..</w:t>
            </w:r>
            <w:proofErr w:type="gramEnd"/>
          </w:p>
          <w:p w:rsidR="00513F6B" w:rsidRDefault="00513F6B">
            <w:r>
              <w:rPr>
                <w:sz w:val="22"/>
              </w:rPr>
              <w:t xml:space="preserve">     </w:t>
            </w:r>
          </w:p>
          <w:p w:rsidR="00513F6B" w:rsidRDefault="00513F6B">
            <w:pPr>
              <w:rPr>
                <w:rFonts w:ascii="Lucida Grande" w:eastAsia="ヒラギノ角ゴ Pro W3" w:hAnsi="Lucida Grande"/>
                <w:color w:val="000000"/>
                <w:lang w:val="en-US" w:eastAsia="en-US"/>
              </w:rPr>
            </w:pPr>
          </w:p>
        </w:tc>
      </w:tr>
      <w:tr w:rsidR="00513F6B" w:rsidTr="00513F6B">
        <w:trPr>
          <w:cantSplit/>
          <w:trHeight w:val="460"/>
        </w:trPr>
        <w:tc>
          <w:tcPr>
            <w:tcW w:w="3851" w:type="dxa"/>
            <w:tcBorders>
              <w:top w:val="nil"/>
              <w:left w:val="nil"/>
              <w:bottom w:val="nil"/>
              <w:right w:val="nil"/>
            </w:tcBorders>
            <w:shd w:val="clear" w:color="auto" w:fill="FFFFFF"/>
            <w:tcMar>
              <w:top w:w="0" w:type="dxa"/>
              <w:left w:w="0" w:type="dxa"/>
              <w:bottom w:w="0" w:type="dxa"/>
              <w:right w:w="0" w:type="dxa"/>
            </w:tcMar>
            <w:hideMark/>
          </w:tcPr>
          <w:p w:rsidR="00513F6B" w:rsidRDefault="00513F6B">
            <w:pPr>
              <w:rPr>
                <w:rFonts w:eastAsia="ヒラギノ角ゴ Pro W3"/>
                <w:b/>
                <w:color w:val="000000"/>
                <w:sz w:val="22"/>
                <w:lang w:val="en-US" w:eastAsia="en-US"/>
              </w:rPr>
            </w:pPr>
            <w:r>
              <w:rPr>
                <w:b/>
                <w:sz w:val="22"/>
              </w:rPr>
              <w:t>Employer information</w:t>
            </w:r>
          </w:p>
        </w:tc>
        <w:tc>
          <w:tcPr>
            <w:tcW w:w="4177" w:type="dxa"/>
            <w:tcBorders>
              <w:top w:val="nil"/>
              <w:left w:val="nil"/>
              <w:bottom w:val="nil"/>
              <w:right w:val="nil"/>
            </w:tcBorders>
            <w:shd w:val="clear" w:color="auto" w:fill="FFFFFF"/>
            <w:tcMar>
              <w:top w:w="0" w:type="dxa"/>
              <w:left w:w="0" w:type="dxa"/>
              <w:bottom w:w="0" w:type="dxa"/>
              <w:right w:w="0" w:type="dxa"/>
            </w:tcMar>
          </w:tcPr>
          <w:p w:rsidR="00513F6B" w:rsidRDefault="00513F6B">
            <w:pPr>
              <w:pStyle w:val="BodyText1"/>
              <w:rPr>
                <w:rFonts w:ascii="Arial" w:hAnsi="Arial"/>
              </w:rPr>
            </w:pPr>
            <w:r>
              <w:rPr>
                <w:rFonts w:ascii="Arial" w:hAnsi="Arial"/>
              </w:rPr>
              <w:t>West Suffolk Hospital NHS Trust</w:t>
            </w:r>
          </w:p>
          <w:p w:rsidR="00513F6B" w:rsidRDefault="00513F6B">
            <w:pPr>
              <w:pStyle w:val="BodyText1"/>
            </w:pPr>
          </w:p>
        </w:tc>
      </w:tr>
    </w:tbl>
    <w:p w:rsidR="00513F6B" w:rsidRDefault="00513F6B" w:rsidP="00513F6B">
      <w:pPr>
        <w:rPr>
          <w:rFonts w:eastAsia="ヒラギノ角ゴ Pro W3"/>
          <w:b/>
          <w:color w:val="000000"/>
          <w:sz w:val="22"/>
          <w:lang w:val="en-US" w:eastAsia="en-US"/>
        </w:rPr>
      </w:pPr>
    </w:p>
    <w:p w:rsidR="00513F6B" w:rsidRDefault="00513F6B" w:rsidP="00513F6B">
      <w:pPr>
        <w:rPr>
          <w:sz w:val="22"/>
        </w:rPr>
      </w:pPr>
    </w:p>
    <w:p w:rsidR="00513F6B" w:rsidRDefault="00513F6B" w:rsidP="00513F6B">
      <w:pPr>
        <w:rPr>
          <w:sz w:val="22"/>
        </w:rPr>
      </w:pPr>
      <w:r>
        <w:rPr>
          <w:sz w:val="22"/>
        </w:rPr>
        <w:t>It is important to note that this description is a typical example of your placement and may be subject to change.</w:t>
      </w:r>
    </w:p>
    <w:p w:rsidR="00513F6B" w:rsidRDefault="00513F6B" w:rsidP="00513F6B">
      <w:pPr>
        <w:rPr>
          <w:rFonts w:ascii="Lucida Grande" w:hAnsi="Lucida Grande"/>
        </w:rPr>
      </w:pPr>
    </w:p>
    <w:p w:rsidR="00513F6B" w:rsidRDefault="00513F6B" w:rsidP="00513F6B">
      <w:pPr>
        <w:tabs>
          <w:tab w:val="left" w:pos="900"/>
        </w:tabs>
        <w:jc w:val="both"/>
        <w:rPr>
          <w:b/>
          <w:sz w:val="22"/>
        </w:rPr>
      </w:pPr>
      <w:r>
        <w:rPr>
          <w:b/>
          <w:sz w:val="22"/>
        </w:rPr>
        <w:t>Appendix F – Individual placement description (Example)</w:t>
      </w:r>
    </w:p>
    <w:p w:rsidR="00513F6B" w:rsidRDefault="00513F6B" w:rsidP="00513F6B">
      <w:pPr>
        <w:tabs>
          <w:tab w:val="center" w:pos="5040"/>
          <w:tab w:val="right" w:pos="9006"/>
        </w:tabs>
        <w:rPr>
          <w:rFonts w:ascii="Lucida Grande" w:hAnsi="Lucida Grande"/>
        </w:rPr>
      </w:pPr>
      <w:r>
        <w:rPr>
          <w:noProof/>
        </w:rPr>
        <w:drawing>
          <wp:inline distT="0" distB="0" distL="0" distR="0">
            <wp:extent cx="1676400" cy="57150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71500"/>
                    </a:xfrm>
                    <a:prstGeom prst="rect">
                      <a:avLst/>
                    </a:prstGeom>
                    <a:solidFill>
                      <a:srgbClr val="FFFFFF"/>
                    </a:solidFill>
                    <a:ln>
                      <a:noFill/>
                    </a:ln>
                  </pic:spPr>
                </pic:pic>
              </a:graphicData>
            </a:graphic>
          </wp:inline>
        </w:drawing>
      </w:r>
      <w:r>
        <w:tab/>
      </w:r>
      <w:r>
        <w:rPr>
          <w:noProof/>
        </w:rPr>
        <w:drawing>
          <wp:inline distT="0" distB="0" distL="0" distR="0">
            <wp:extent cx="1009650" cy="695325"/>
            <wp:effectExtent l="0" t="0" r="0" b="9525"/>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solidFill>
                      <a:srgbClr val="FFFFFF"/>
                    </a:solidFill>
                    <a:ln>
                      <a:noFill/>
                    </a:ln>
                  </pic:spPr>
                </pic:pic>
              </a:graphicData>
            </a:graphic>
          </wp:inline>
        </w:drawing>
      </w:r>
      <w:r>
        <w:tab/>
      </w:r>
      <w:r>
        <w:rPr>
          <w:noProof/>
        </w:rPr>
        <w:drawing>
          <wp:inline distT="0" distB="0" distL="0" distR="0">
            <wp:extent cx="1409700" cy="771525"/>
            <wp:effectExtent l="0" t="0" r="0" b="9525"/>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71525"/>
                    </a:xfrm>
                    <a:prstGeom prst="rect">
                      <a:avLst/>
                    </a:prstGeom>
                    <a:solidFill>
                      <a:srgbClr val="FFFFFF"/>
                    </a:solidFill>
                    <a:ln>
                      <a:noFill/>
                    </a:ln>
                  </pic:spPr>
                </pic:pic>
              </a:graphicData>
            </a:graphic>
          </wp:inline>
        </w:drawing>
      </w:r>
    </w:p>
    <w:p w:rsidR="00513F6B" w:rsidRDefault="00513F6B" w:rsidP="00513F6B">
      <w:pPr>
        <w:jc w:val="center"/>
        <w:rPr>
          <w:b/>
          <w:sz w:val="28"/>
        </w:rPr>
      </w:pPr>
    </w:p>
    <w:p w:rsidR="00513F6B" w:rsidRDefault="00513F6B" w:rsidP="00513F6B">
      <w:pPr>
        <w:jc w:val="center"/>
        <w:rPr>
          <w:b/>
          <w:sz w:val="28"/>
        </w:rPr>
      </w:pPr>
      <w:r>
        <w:rPr>
          <w:b/>
          <w:sz w:val="28"/>
        </w:rPr>
        <w:t>South Standard Foundation School</w:t>
      </w:r>
    </w:p>
    <w:p w:rsidR="00513F6B" w:rsidRDefault="00513F6B" w:rsidP="00513F6B">
      <w:pPr>
        <w:rPr>
          <w:rFonts w:ascii="Lucida Grande" w:hAnsi="Lucida Grande"/>
        </w:rPr>
      </w:pPr>
      <w:bookmarkStart w:id="1" w:name="GoBack"/>
      <w:bookmarkEnd w:id="1"/>
    </w:p>
    <w:tbl>
      <w:tblPr>
        <w:tblW w:w="0" w:type="auto"/>
        <w:tblInd w:w="108" w:type="dxa"/>
        <w:shd w:val="clear" w:color="auto" w:fill="FFFFFF"/>
        <w:tblLayout w:type="fixed"/>
        <w:tblLook w:val="04A0" w:firstRow="1" w:lastRow="0" w:firstColumn="1" w:lastColumn="0" w:noHBand="0" w:noVBand="1"/>
      </w:tblPr>
      <w:tblGrid>
        <w:gridCol w:w="3540"/>
        <w:gridCol w:w="4988"/>
      </w:tblGrid>
      <w:tr w:rsidR="00513F6B" w:rsidTr="00513F6B">
        <w:trPr>
          <w:cantSplit/>
          <w:trHeight w:val="240"/>
        </w:trPr>
        <w:tc>
          <w:tcPr>
            <w:tcW w:w="3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b/>
                <w:color w:val="000000"/>
                <w:sz w:val="22"/>
                <w:lang w:val="en-US" w:eastAsia="en-US"/>
              </w:rPr>
            </w:pPr>
            <w:r>
              <w:rPr>
                <w:b/>
                <w:sz w:val="22"/>
              </w:rPr>
              <w:t>Placement</w:t>
            </w: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color w:val="000000"/>
                <w:sz w:val="22"/>
                <w:lang w:val="en-US" w:eastAsia="en-US"/>
              </w:rPr>
            </w:pPr>
            <w:proofErr w:type="gramStart"/>
            <w:r>
              <w:rPr>
                <w:sz w:val="22"/>
              </w:rPr>
              <w:t>F2  Acute</w:t>
            </w:r>
            <w:proofErr w:type="gramEnd"/>
            <w:r>
              <w:rPr>
                <w:sz w:val="22"/>
              </w:rPr>
              <w:t xml:space="preserve"> paediatrics and neonates.</w:t>
            </w:r>
          </w:p>
        </w:tc>
      </w:tr>
      <w:tr w:rsidR="00513F6B" w:rsidTr="00513F6B">
        <w:trPr>
          <w:cantSplit/>
          <w:trHeight w:val="2160"/>
        </w:trPr>
        <w:tc>
          <w:tcPr>
            <w:tcW w:w="3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rPr>
                <w:rFonts w:eastAsia="ヒラギノ角ゴ Pro W3"/>
                <w:b/>
                <w:color w:val="000000"/>
                <w:sz w:val="22"/>
                <w:lang w:val="en-US" w:eastAsia="en-US"/>
              </w:rPr>
            </w:pPr>
            <w:r>
              <w:rPr>
                <w:b/>
                <w:sz w:val="22"/>
              </w:rPr>
              <w:lastRenderedPageBreak/>
              <w:t>The department</w:t>
            </w: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color w:val="000000"/>
                <w:lang w:val="en-US" w:eastAsia="en-US"/>
              </w:rPr>
            </w:pPr>
            <w:r>
              <w:rPr>
                <w:sz w:val="22"/>
              </w:rPr>
              <w:t xml:space="preserve">The </w:t>
            </w:r>
            <w:proofErr w:type="spellStart"/>
            <w:r>
              <w:rPr>
                <w:sz w:val="22"/>
              </w:rPr>
              <w:t>Dept</w:t>
            </w:r>
            <w:proofErr w:type="spellEnd"/>
            <w:r>
              <w:rPr>
                <w:sz w:val="22"/>
              </w:rPr>
              <w:t xml:space="preserve"> of Paediatrics comprises 5 Consultant paediatricians of whom 4 do acute General paediatric and neonatal on-call. There are interests in Epilepsy. Allergy, Asthma, Diabetes.  All </w:t>
            </w:r>
            <w:proofErr w:type="spellStart"/>
            <w:r>
              <w:rPr>
                <w:sz w:val="22"/>
              </w:rPr>
              <w:t>pediatric</w:t>
            </w:r>
            <w:proofErr w:type="spellEnd"/>
            <w:r>
              <w:rPr>
                <w:sz w:val="22"/>
              </w:rPr>
              <w:t xml:space="preserve"> and neonatal pathology is represented </w:t>
            </w:r>
          </w:p>
          <w:p w:rsidR="00513F6B" w:rsidRDefault="00513F6B">
            <w:pPr>
              <w:jc w:val="both"/>
            </w:pPr>
            <w:r>
              <w:rPr>
                <w:sz w:val="22"/>
              </w:rPr>
              <w:t xml:space="preserve">The department serves South </w:t>
            </w:r>
            <w:proofErr w:type="spellStart"/>
            <w:r>
              <w:rPr>
                <w:sz w:val="22"/>
              </w:rPr>
              <w:t>Exampleshire</w:t>
            </w:r>
            <w:proofErr w:type="spellEnd"/>
            <w:r>
              <w:rPr>
                <w:sz w:val="22"/>
              </w:rPr>
              <w:t xml:space="preserve"> with a catchment population of 150,000.</w:t>
            </w:r>
          </w:p>
          <w:p w:rsidR="00513F6B" w:rsidRDefault="00513F6B">
            <w:pPr>
              <w:jc w:val="both"/>
              <w:rPr>
                <w:rFonts w:eastAsia="ヒラギノ角ゴ Pro W3"/>
                <w:color w:val="000000"/>
                <w:sz w:val="22"/>
                <w:lang w:val="en-US" w:eastAsia="en-US"/>
              </w:rPr>
            </w:pPr>
            <w:r>
              <w:rPr>
                <w:sz w:val="22"/>
              </w:rPr>
              <w:t xml:space="preserve">The department is closely linked with tertiary services in </w:t>
            </w:r>
            <w:proofErr w:type="spellStart"/>
            <w:r>
              <w:rPr>
                <w:sz w:val="22"/>
              </w:rPr>
              <w:t>Canchester</w:t>
            </w:r>
            <w:proofErr w:type="spellEnd"/>
            <w:r>
              <w:rPr>
                <w:sz w:val="22"/>
              </w:rPr>
              <w:t xml:space="preserve"> and </w:t>
            </w:r>
            <w:proofErr w:type="spellStart"/>
            <w:r>
              <w:rPr>
                <w:sz w:val="22"/>
              </w:rPr>
              <w:t>Smitherton</w:t>
            </w:r>
            <w:proofErr w:type="spellEnd"/>
            <w:r>
              <w:rPr>
                <w:sz w:val="22"/>
              </w:rPr>
              <w:t>.</w:t>
            </w:r>
          </w:p>
        </w:tc>
      </w:tr>
      <w:tr w:rsidR="00513F6B" w:rsidTr="00513F6B">
        <w:trPr>
          <w:cantSplit/>
          <w:trHeight w:val="6720"/>
        </w:trPr>
        <w:tc>
          <w:tcPr>
            <w:tcW w:w="3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rPr>
                <w:rFonts w:eastAsia="ヒラギノ角ゴ Pro W3"/>
                <w:b/>
                <w:color w:val="000000"/>
                <w:sz w:val="22"/>
                <w:lang w:val="en-US" w:eastAsia="en-US"/>
              </w:rPr>
            </w:pPr>
            <w:r>
              <w:rPr>
                <w:b/>
                <w:sz w:val="22"/>
              </w:rPr>
              <w:t>The type of work to expect and learning opportunities</w:t>
            </w: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color w:val="000000"/>
                <w:lang w:val="en-US" w:eastAsia="en-US"/>
              </w:rPr>
            </w:pPr>
            <w:r>
              <w:rPr>
                <w:sz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513F6B" w:rsidRDefault="00513F6B">
            <w:pPr>
              <w:jc w:val="both"/>
            </w:pPr>
            <w:r>
              <w:rPr>
                <w:sz w:val="22"/>
              </w:rPr>
              <w:t xml:space="preserve">The overall educational objectives of the F1 year are to provide the trainee with the knowledge, skills and attitudes to be able to </w:t>
            </w:r>
          </w:p>
          <w:p w:rsidR="00513F6B" w:rsidRDefault="00513F6B" w:rsidP="00513F6B">
            <w:pPr>
              <w:numPr>
                <w:ilvl w:val="0"/>
                <w:numId w:val="21"/>
              </w:numPr>
              <w:tabs>
                <w:tab w:val="clear" w:pos="360"/>
                <w:tab w:val="num" w:pos="720"/>
              </w:tabs>
              <w:ind w:left="720" w:hanging="360"/>
              <w:jc w:val="both"/>
              <w:rPr>
                <w:sz w:val="22"/>
              </w:rPr>
            </w:pPr>
            <w:r>
              <w:rPr>
                <w:sz w:val="22"/>
              </w:rPr>
              <w:t>Take a history and examine a patient</w:t>
            </w:r>
          </w:p>
          <w:p w:rsidR="00513F6B" w:rsidRDefault="00513F6B" w:rsidP="00513F6B">
            <w:pPr>
              <w:numPr>
                <w:ilvl w:val="0"/>
                <w:numId w:val="22"/>
              </w:numPr>
              <w:tabs>
                <w:tab w:val="clear" w:pos="360"/>
                <w:tab w:val="num" w:pos="720"/>
              </w:tabs>
              <w:ind w:left="720" w:hanging="360"/>
              <w:jc w:val="both"/>
              <w:rPr>
                <w:sz w:val="22"/>
              </w:rPr>
            </w:pPr>
            <w:r>
              <w:rPr>
                <w:sz w:val="22"/>
              </w:rPr>
              <w:t>Identify and synthesise problems</w:t>
            </w:r>
          </w:p>
          <w:p w:rsidR="00513F6B" w:rsidRDefault="00513F6B" w:rsidP="00513F6B">
            <w:pPr>
              <w:numPr>
                <w:ilvl w:val="0"/>
                <w:numId w:val="22"/>
              </w:numPr>
              <w:tabs>
                <w:tab w:val="clear" w:pos="360"/>
                <w:tab w:val="num" w:pos="720"/>
              </w:tabs>
              <w:ind w:left="720" w:hanging="360"/>
              <w:jc w:val="both"/>
              <w:rPr>
                <w:sz w:val="22"/>
              </w:rPr>
            </w:pPr>
            <w:r>
              <w:rPr>
                <w:sz w:val="22"/>
              </w:rPr>
              <w:t>Prescribe safely</w:t>
            </w:r>
          </w:p>
          <w:p w:rsidR="00513F6B" w:rsidRDefault="00513F6B" w:rsidP="00513F6B">
            <w:pPr>
              <w:numPr>
                <w:ilvl w:val="0"/>
                <w:numId w:val="22"/>
              </w:numPr>
              <w:tabs>
                <w:tab w:val="clear" w:pos="360"/>
                <w:tab w:val="num" w:pos="720"/>
              </w:tabs>
              <w:ind w:left="720" w:hanging="360"/>
              <w:jc w:val="both"/>
              <w:rPr>
                <w:sz w:val="22"/>
              </w:rPr>
            </w:pPr>
            <w:r>
              <w:rPr>
                <w:sz w:val="22"/>
              </w:rPr>
              <w:t xml:space="preserve">Keep an accurate and relevant medical record </w:t>
            </w:r>
          </w:p>
          <w:p w:rsidR="00513F6B" w:rsidRDefault="00513F6B" w:rsidP="00513F6B">
            <w:pPr>
              <w:numPr>
                <w:ilvl w:val="0"/>
                <w:numId w:val="22"/>
              </w:numPr>
              <w:tabs>
                <w:tab w:val="clear" w:pos="360"/>
                <w:tab w:val="num" w:pos="720"/>
              </w:tabs>
              <w:ind w:left="720" w:hanging="360"/>
              <w:jc w:val="both"/>
              <w:rPr>
                <w:sz w:val="22"/>
              </w:rPr>
            </w:pPr>
            <w:r>
              <w:rPr>
                <w:sz w:val="22"/>
              </w:rPr>
              <w:t>Manage time and clinical priorities effectively</w:t>
            </w:r>
          </w:p>
          <w:p w:rsidR="00513F6B" w:rsidRDefault="00513F6B" w:rsidP="00513F6B">
            <w:pPr>
              <w:numPr>
                <w:ilvl w:val="0"/>
                <w:numId w:val="22"/>
              </w:numPr>
              <w:tabs>
                <w:tab w:val="clear" w:pos="360"/>
                <w:tab w:val="num" w:pos="720"/>
              </w:tabs>
              <w:ind w:left="720" w:hanging="360"/>
              <w:jc w:val="both"/>
              <w:rPr>
                <w:sz w:val="22"/>
              </w:rPr>
            </w:pPr>
            <w:r>
              <w:rPr>
                <w:sz w:val="22"/>
              </w:rPr>
              <w:t>Communicate effectively with patients, relatives and colleagues</w:t>
            </w:r>
          </w:p>
          <w:p w:rsidR="00513F6B" w:rsidRDefault="00513F6B" w:rsidP="00513F6B">
            <w:pPr>
              <w:numPr>
                <w:ilvl w:val="0"/>
                <w:numId w:val="22"/>
              </w:numPr>
              <w:tabs>
                <w:tab w:val="clear" w:pos="360"/>
                <w:tab w:val="num" w:pos="720"/>
              </w:tabs>
              <w:ind w:left="720" w:hanging="360"/>
              <w:jc w:val="both"/>
              <w:rPr>
                <w:sz w:val="22"/>
              </w:rPr>
            </w:pPr>
            <w:r>
              <w:rPr>
                <w:sz w:val="22"/>
              </w:rPr>
              <w:t>Use evidence, guidelines and audit to benefit patient care</w:t>
            </w:r>
          </w:p>
          <w:p w:rsidR="00513F6B" w:rsidRDefault="00513F6B" w:rsidP="00513F6B">
            <w:pPr>
              <w:numPr>
                <w:ilvl w:val="0"/>
                <w:numId w:val="22"/>
              </w:numPr>
              <w:tabs>
                <w:tab w:val="clear" w:pos="360"/>
                <w:tab w:val="num" w:pos="720"/>
              </w:tabs>
              <w:ind w:left="720" w:hanging="360"/>
              <w:jc w:val="both"/>
              <w:rPr>
                <w:sz w:val="22"/>
              </w:rPr>
            </w:pPr>
            <w:r>
              <w:rPr>
                <w:sz w:val="22"/>
              </w:rPr>
              <w:t>Act in a professional manner at all times</w:t>
            </w:r>
          </w:p>
          <w:p w:rsidR="00513F6B" w:rsidRDefault="00513F6B" w:rsidP="00513F6B">
            <w:pPr>
              <w:numPr>
                <w:ilvl w:val="0"/>
                <w:numId w:val="22"/>
              </w:numPr>
              <w:tabs>
                <w:tab w:val="clear" w:pos="360"/>
                <w:tab w:val="num" w:pos="720"/>
              </w:tabs>
              <w:ind w:left="720" w:hanging="360"/>
              <w:jc w:val="both"/>
              <w:rPr>
                <w:sz w:val="22"/>
              </w:rPr>
            </w:pPr>
            <w:r>
              <w:rPr>
                <w:sz w:val="22"/>
              </w:rPr>
              <w:t>Cope with ethical and legal issues which occur during the management of patients with general medical problems</w:t>
            </w:r>
          </w:p>
          <w:p w:rsidR="00513F6B" w:rsidRDefault="00513F6B" w:rsidP="00513F6B">
            <w:pPr>
              <w:numPr>
                <w:ilvl w:val="0"/>
                <w:numId w:val="22"/>
              </w:numPr>
              <w:tabs>
                <w:tab w:val="clear" w:pos="360"/>
                <w:tab w:val="num" w:pos="720"/>
              </w:tabs>
              <w:ind w:left="720" w:hanging="360"/>
              <w:jc w:val="both"/>
              <w:rPr>
                <w:sz w:val="22"/>
              </w:rPr>
            </w:pPr>
            <w:r>
              <w:rPr>
                <w:sz w:val="22"/>
              </w:rPr>
              <w:t>Educate patients effectively</w:t>
            </w:r>
          </w:p>
          <w:p w:rsidR="00513F6B" w:rsidRDefault="00513F6B" w:rsidP="00513F6B">
            <w:pPr>
              <w:numPr>
                <w:ilvl w:val="0"/>
                <w:numId w:val="22"/>
              </w:numPr>
              <w:tabs>
                <w:tab w:val="clear" w:pos="360"/>
                <w:tab w:val="num" w:pos="720"/>
              </w:tabs>
              <w:ind w:left="720" w:hanging="360"/>
              <w:jc w:val="both"/>
              <w:rPr>
                <w:rFonts w:eastAsia="ヒラギノ角ゴ Pro W3"/>
                <w:color w:val="000000"/>
                <w:sz w:val="22"/>
                <w:lang w:val="en-US" w:eastAsia="en-US"/>
              </w:rPr>
            </w:pPr>
            <w:r>
              <w:rPr>
                <w:sz w:val="22"/>
              </w:rPr>
              <w:t>Become life-long learners and teachers.</w:t>
            </w:r>
          </w:p>
        </w:tc>
      </w:tr>
      <w:tr w:rsidR="00513F6B" w:rsidTr="00513F6B">
        <w:trPr>
          <w:cantSplit/>
          <w:trHeight w:val="240"/>
        </w:trPr>
        <w:tc>
          <w:tcPr>
            <w:tcW w:w="3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b/>
                <w:color w:val="000000"/>
                <w:sz w:val="22"/>
                <w:lang w:val="en-US" w:eastAsia="en-US"/>
              </w:rPr>
            </w:pPr>
            <w:r>
              <w:rPr>
                <w:b/>
                <w:sz w:val="22"/>
              </w:rPr>
              <w:t>Where the placement is based</w:t>
            </w: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color w:val="000000"/>
                <w:sz w:val="22"/>
                <w:lang w:val="en-US" w:eastAsia="en-US"/>
              </w:rPr>
            </w:pPr>
            <w:proofErr w:type="spellStart"/>
            <w:r>
              <w:rPr>
                <w:sz w:val="22"/>
              </w:rPr>
              <w:t>Anytown</w:t>
            </w:r>
            <w:proofErr w:type="spellEnd"/>
            <w:r>
              <w:rPr>
                <w:sz w:val="22"/>
              </w:rPr>
              <w:t xml:space="preserve"> District General Hospital; Wards P1 &amp; P2.</w:t>
            </w:r>
          </w:p>
        </w:tc>
      </w:tr>
      <w:tr w:rsidR="00513F6B" w:rsidTr="00513F6B">
        <w:trPr>
          <w:cantSplit/>
          <w:trHeight w:val="480"/>
        </w:trPr>
        <w:tc>
          <w:tcPr>
            <w:tcW w:w="3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b/>
                <w:color w:val="000000"/>
                <w:sz w:val="22"/>
                <w:lang w:val="en-US" w:eastAsia="en-US"/>
              </w:rPr>
            </w:pPr>
            <w:r>
              <w:rPr>
                <w:b/>
                <w:sz w:val="22"/>
              </w:rPr>
              <w:t>Clinical Supervisor(s) for the placement</w:t>
            </w: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color w:val="000000"/>
                <w:sz w:val="22"/>
                <w:lang w:val="en-US" w:eastAsia="en-US"/>
              </w:rPr>
            </w:pPr>
            <w:r>
              <w:rPr>
                <w:sz w:val="22"/>
              </w:rPr>
              <w:t>Dr Deirdre Jones &amp; Dr Mark Andrew</w:t>
            </w:r>
          </w:p>
        </w:tc>
      </w:tr>
      <w:tr w:rsidR="00513F6B" w:rsidTr="00513F6B">
        <w:trPr>
          <w:cantSplit/>
          <w:trHeight w:val="3120"/>
        </w:trPr>
        <w:tc>
          <w:tcPr>
            <w:tcW w:w="3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rPr>
                <w:rFonts w:eastAsia="ヒラギノ角ゴ Pro W3"/>
                <w:b/>
                <w:color w:val="000000"/>
                <w:sz w:val="22"/>
                <w:lang w:val="en-US" w:eastAsia="en-US"/>
              </w:rPr>
            </w:pPr>
            <w:r>
              <w:rPr>
                <w:b/>
                <w:sz w:val="22"/>
              </w:rPr>
              <w:t>Main duties of the placement</w:t>
            </w: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color w:val="000000"/>
                <w:sz w:val="22"/>
                <w:lang w:val="en-US" w:eastAsia="en-US"/>
              </w:rPr>
            </w:pPr>
            <w:r>
              <w:rPr>
                <w:sz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513F6B" w:rsidTr="00513F6B">
        <w:trPr>
          <w:cantSplit/>
          <w:trHeight w:val="3440"/>
        </w:trPr>
        <w:tc>
          <w:tcPr>
            <w:tcW w:w="3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jc w:val="both"/>
              <w:rPr>
                <w:rFonts w:eastAsia="ヒラギノ角ゴ Pro W3"/>
                <w:b/>
                <w:color w:val="000000"/>
                <w:sz w:val="22"/>
                <w:lang w:val="en-US" w:eastAsia="en-US"/>
              </w:rPr>
            </w:pPr>
            <w:r>
              <w:rPr>
                <w:b/>
                <w:sz w:val="22"/>
              </w:rPr>
              <w:lastRenderedPageBreak/>
              <w:t>Typical working pattern in this placement</w:t>
            </w: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513F6B" w:rsidRDefault="00513F6B">
            <w:pPr>
              <w:jc w:val="both"/>
              <w:rPr>
                <w:rFonts w:eastAsia="ヒラギノ角ゴ Pro W3"/>
                <w:color w:val="000000"/>
                <w:lang w:val="en-US" w:eastAsia="en-US"/>
              </w:rPr>
            </w:pPr>
            <w:r>
              <w:rPr>
                <w:i/>
                <w:sz w:val="22"/>
              </w:rPr>
              <w:t>Daily:</w:t>
            </w:r>
            <w:r>
              <w:rPr>
                <w:sz w:val="22"/>
              </w:rPr>
              <w:t xml:space="preserve">        0900 Ward round</w:t>
            </w:r>
          </w:p>
          <w:p w:rsidR="00513F6B" w:rsidRDefault="00513F6B">
            <w:pPr>
              <w:jc w:val="both"/>
            </w:pPr>
            <w:r>
              <w:rPr>
                <w:sz w:val="22"/>
              </w:rPr>
              <w:t xml:space="preserve">                 1200/1700/2100   Handover</w:t>
            </w:r>
          </w:p>
          <w:p w:rsidR="00513F6B" w:rsidRDefault="00513F6B">
            <w:pPr>
              <w:jc w:val="both"/>
            </w:pPr>
          </w:p>
          <w:p w:rsidR="00513F6B" w:rsidRDefault="00513F6B">
            <w:pPr>
              <w:jc w:val="both"/>
            </w:pPr>
            <w:r>
              <w:rPr>
                <w:sz w:val="22"/>
              </w:rPr>
              <w:t xml:space="preserve">Mon:          1100 – 1700 Assessment </w:t>
            </w:r>
            <w:proofErr w:type="gramStart"/>
            <w:r>
              <w:rPr>
                <w:sz w:val="22"/>
              </w:rPr>
              <w:t>unit</w:t>
            </w:r>
            <w:proofErr w:type="gramEnd"/>
            <w:r>
              <w:rPr>
                <w:sz w:val="22"/>
              </w:rPr>
              <w:t>.</w:t>
            </w:r>
          </w:p>
          <w:p w:rsidR="00513F6B" w:rsidRDefault="00513F6B">
            <w:pPr>
              <w:jc w:val="both"/>
            </w:pPr>
            <w:r>
              <w:rPr>
                <w:sz w:val="22"/>
              </w:rPr>
              <w:t>Tues:        1400  Out patients clinic</w:t>
            </w:r>
          </w:p>
          <w:p w:rsidR="00513F6B" w:rsidRDefault="00513F6B">
            <w:pPr>
              <w:jc w:val="both"/>
            </w:pPr>
            <w:r>
              <w:rPr>
                <w:sz w:val="22"/>
              </w:rPr>
              <w:t>Wed:         1300  Grand round</w:t>
            </w:r>
          </w:p>
          <w:p w:rsidR="00513F6B" w:rsidRDefault="00513F6B">
            <w:pPr>
              <w:jc w:val="both"/>
            </w:pPr>
            <w:r>
              <w:rPr>
                <w:sz w:val="22"/>
              </w:rPr>
              <w:t xml:space="preserve">                  (1400 formal teaching programme)</w:t>
            </w:r>
          </w:p>
          <w:p w:rsidR="00513F6B" w:rsidRDefault="00513F6B">
            <w:pPr>
              <w:jc w:val="both"/>
            </w:pPr>
            <w:r>
              <w:rPr>
                <w:sz w:val="22"/>
              </w:rPr>
              <w:t>Thurs:       1100  departmental teaching program</w:t>
            </w:r>
          </w:p>
          <w:p w:rsidR="00513F6B" w:rsidRDefault="00513F6B">
            <w:pPr>
              <w:jc w:val="both"/>
            </w:pPr>
            <w:r>
              <w:rPr>
                <w:sz w:val="22"/>
              </w:rPr>
              <w:t xml:space="preserve">Fri:             Ward cover </w:t>
            </w:r>
          </w:p>
          <w:p w:rsidR="00513F6B" w:rsidRDefault="00513F6B">
            <w:pPr>
              <w:jc w:val="both"/>
            </w:pPr>
            <w:r>
              <w:rPr>
                <w:sz w:val="22"/>
              </w:rPr>
              <w:t>Sat:            0900 – 2100    1 in 5/6</w:t>
            </w:r>
          </w:p>
          <w:p w:rsidR="00513F6B" w:rsidRDefault="00513F6B">
            <w:pPr>
              <w:jc w:val="both"/>
            </w:pPr>
            <w:r>
              <w:rPr>
                <w:sz w:val="22"/>
              </w:rPr>
              <w:t>Sun:           0900 – 2100   1 in 5/6</w:t>
            </w:r>
          </w:p>
          <w:p w:rsidR="00513F6B" w:rsidRDefault="00513F6B">
            <w:pPr>
              <w:jc w:val="both"/>
            </w:pPr>
          </w:p>
          <w:p w:rsidR="00513F6B" w:rsidRDefault="00513F6B">
            <w:pPr>
              <w:jc w:val="both"/>
              <w:rPr>
                <w:b/>
              </w:rPr>
            </w:pPr>
            <w:r>
              <w:rPr>
                <w:i/>
                <w:sz w:val="22"/>
              </w:rPr>
              <w:t>On call requirements:</w:t>
            </w:r>
            <w:r>
              <w:rPr>
                <w:b/>
                <w:sz w:val="22"/>
              </w:rPr>
              <w:t xml:space="preserve"> </w:t>
            </w:r>
          </w:p>
          <w:p w:rsidR="00513F6B" w:rsidRDefault="00513F6B">
            <w:pPr>
              <w:jc w:val="both"/>
              <w:rPr>
                <w:rFonts w:eastAsia="ヒラギノ角ゴ Pro W3"/>
                <w:color w:val="000000"/>
                <w:sz w:val="22"/>
                <w:lang w:val="en-US" w:eastAsia="en-US"/>
              </w:rPr>
            </w:pPr>
            <w:r>
              <w:rPr>
                <w:sz w:val="22"/>
              </w:rPr>
              <w:t>1 in 5 with flexible twilight shifts.</w:t>
            </w:r>
          </w:p>
        </w:tc>
      </w:tr>
      <w:tr w:rsidR="00513F6B" w:rsidTr="00513F6B">
        <w:trPr>
          <w:cantSplit/>
          <w:trHeight w:val="2400"/>
        </w:trPr>
        <w:tc>
          <w:tcPr>
            <w:tcW w:w="3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rPr>
                <w:rFonts w:eastAsia="ヒラギノ角ゴ Pro W3"/>
                <w:b/>
                <w:color w:val="000000"/>
                <w:sz w:val="22"/>
                <w:lang w:val="en-US" w:eastAsia="en-US"/>
              </w:rPr>
            </w:pPr>
            <w:r>
              <w:rPr>
                <w:b/>
                <w:sz w:val="22"/>
              </w:rPr>
              <w:t>Employer information</w:t>
            </w: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13F6B" w:rsidRDefault="00513F6B">
            <w:pPr>
              <w:pStyle w:val="BodyText1"/>
              <w:rPr>
                <w:rFonts w:ascii="Arial" w:hAnsi="Arial"/>
              </w:rPr>
            </w:pPr>
            <w:r>
              <w:rPr>
                <w:rFonts w:ascii="Arial" w:hAnsi="Arial"/>
              </w:rPr>
              <w:t xml:space="preserve">The employer for this post is </w:t>
            </w:r>
            <w:proofErr w:type="spellStart"/>
            <w:r>
              <w:rPr>
                <w:rFonts w:ascii="Arial" w:hAnsi="Arial"/>
              </w:rPr>
              <w:t>Smitherton</w:t>
            </w:r>
            <w:proofErr w:type="spellEnd"/>
            <w:r>
              <w:rPr>
                <w:rFonts w:ascii="Arial" w:hAnsi="Arial"/>
              </w:rPr>
              <w:t xml:space="preserve"> NHS Foundation Trust. </w:t>
            </w:r>
          </w:p>
          <w:p w:rsidR="00513F6B" w:rsidRDefault="00513F6B">
            <w:pPr>
              <w:jc w:val="both"/>
              <w:rPr>
                <w:rFonts w:eastAsia="ヒラギノ角ゴ Pro W3"/>
                <w:color w:val="000000"/>
                <w:sz w:val="22"/>
                <w:lang w:val="en-US" w:eastAsia="en-US"/>
              </w:rPr>
            </w:pPr>
            <w:r>
              <w:rPr>
                <w:sz w:val="22"/>
              </w:rPr>
              <w:t xml:space="preserve">The post will be based in </w:t>
            </w:r>
            <w:proofErr w:type="spellStart"/>
            <w:r>
              <w:rPr>
                <w:sz w:val="22"/>
              </w:rPr>
              <w:t>Anytown</w:t>
            </w:r>
            <w:proofErr w:type="spellEnd"/>
            <w:r>
              <w:rPr>
                <w:sz w:val="22"/>
              </w:rPr>
              <w:t xml:space="preserve"> District General Hospital </w:t>
            </w:r>
            <w:proofErr w:type="spellStart"/>
            <w:r>
              <w:rPr>
                <w:sz w:val="22"/>
              </w:rPr>
              <w:t>Smitherton</w:t>
            </w:r>
            <w:proofErr w:type="spellEnd"/>
            <w:r>
              <w:rPr>
                <w:sz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513F6B" w:rsidRDefault="00513F6B" w:rsidP="00513F6B">
      <w:pPr>
        <w:rPr>
          <w:rFonts w:eastAsia="ヒラギノ角ゴ Pro W3"/>
          <w:b/>
          <w:color w:val="000000"/>
          <w:sz w:val="28"/>
          <w:lang w:val="en-US" w:eastAsia="en-US"/>
        </w:rPr>
      </w:pPr>
    </w:p>
    <w:p w:rsidR="00513F6B" w:rsidRDefault="00513F6B" w:rsidP="00513F6B">
      <w:pPr>
        <w:rPr>
          <w:sz w:val="22"/>
        </w:rPr>
      </w:pPr>
    </w:p>
    <w:p w:rsidR="00513F6B" w:rsidRDefault="00513F6B" w:rsidP="00513F6B">
      <w:pPr>
        <w:rPr>
          <w:sz w:val="22"/>
        </w:rPr>
      </w:pPr>
      <w:r>
        <w:rPr>
          <w:sz w:val="22"/>
        </w:rPr>
        <w:t>It is important to note that this description is a typical example of your placement and may be subject to change.</w:t>
      </w:r>
    </w:p>
    <w:p w:rsidR="00513F6B" w:rsidRDefault="00513F6B" w:rsidP="00513F6B">
      <w:pPr>
        <w:rPr>
          <w:sz w:val="22"/>
        </w:rPr>
      </w:pPr>
    </w:p>
    <w:p w:rsidR="00513F6B" w:rsidRDefault="00513F6B" w:rsidP="00513F6B">
      <w:pPr>
        <w:rPr>
          <w:rFonts w:ascii="Times New Roman" w:hAnsi="Times New Roman"/>
          <w:sz w:val="20"/>
          <w:lang w:bidi="x-none"/>
        </w:rPr>
      </w:pPr>
    </w:p>
    <w:p w:rsidR="00DF21D4" w:rsidRPr="00513F6B" w:rsidRDefault="00DF21D4" w:rsidP="00513F6B"/>
    <w:sectPr w:rsidR="00DF21D4" w:rsidRPr="00513F6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5">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5"/>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lvlOverride w:ilvl="0"/>
    <w:lvlOverride w:ilvl="1"/>
    <w:lvlOverride w:ilvl="2"/>
    <w:lvlOverride w:ilvl="3"/>
    <w:lvlOverride w:ilvl="4"/>
    <w:lvlOverride w:ilvl="5"/>
    <w:lvlOverride w:ilvl="6"/>
    <w:lvlOverride w:ilvl="7"/>
    <w:lvlOverride w:ilvl="8"/>
  </w:num>
  <w:num w:numId="20">
    <w:abstractNumId w:val="9"/>
    <w:lvlOverride w:ilvl="0"/>
    <w:lvlOverride w:ilvl="1"/>
    <w:lvlOverride w:ilvl="2"/>
    <w:lvlOverride w:ilvl="3"/>
    <w:lvlOverride w:ilvl="4"/>
    <w:lvlOverride w:ilvl="5"/>
    <w:lvlOverride w:ilvl="6"/>
    <w:lvlOverride w:ilvl="7"/>
    <w:lvlOverride w:ilvl="8"/>
  </w:num>
  <w:num w:numId="21">
    <w:abstractNumId w:val="0"/>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2016-09-23T09:59:00Z</dcterms:created>
  <dcterms:modified xsi:type="dcterms:W3CDTF">2016-09-23T09:59:00Z</dcterms:modified>
</cp:coreProperties>
</file>