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1DA8" w:rsidRDefault="00081DA8" w:rsidP="00081DA8">
      <w:pPr>
        <w:tabs>
          <w:tab w:val="center" w:pos="5040"/>
          <w:tab w:val="right" w:pos="9900"/>
        </w:tabs>
      </w:pPr>
      <w:r>
        <w:tab/>
      </w:r>
      <w:r>
        <w:tab/>
      </w:r>
      <w:bookmarkStart w:id="0" w:name="_GoBack"/>
      <w:bookmarkEnd w:id="0"/>
    </w:p>
    <w:p w:rsidR="00081DA8" w:rsidRDefault="00081DA8" w:rsidP="00081DA8">
      <w:pPr>
        <w:jc w:val="center"/>
        <w:rPr>
          <w:rFonts w:cs="Arial"/>
          <w:b/>
          <w:bCs/>
          <w:sz w:val="28"/>
          <w:szCs w:val="28"/>
        </w:rPr>
      </w:pPr>
    </w:p>
    <w:p w:rsidR="00081DA8" w:rsidRDefault="00081DA8" w:rsidP="00081DA8">
      <w:pPr>
        <w:jc w:val="center"/>
        <w:rPr>
          <w:rFonts w:cs="Arial"/>
          <w:b/>
          <w:bCs/>
          <w:sz w:val="28"/>
          <w:szCs w:val="28"/>
        </w:rPr>
      </w:pPr>
      <w:r>
        <w:rPr>
          <w:rFonts w:cs="Arial"/>
          <w:b/>
          <w:bCs/>
          <w:sz w:val="28"/>
          <w:szCs w:val="28"/>
        </w:rPr>
        <w:t>East Anglia Foundation School</w:t>
      </w:r>
    </w:p>
    <w:p w:rsidR="00081DA8" w:rsidRDefault="00081DA8" w:rsidP="00081DA8">
      <w:pPr>
        <w:jc w:val="center"/>
        <w:rPr>
          <w:rFonts w:cs="Arial"/>
          <w:b/>
          <w:bCs/>
          <w:sz w:val="28"/>
          <w:szCs w:val="28"/>
        </w:rPr>
      </w:pPr>
      <w:r>
        <w:rPr>
          <w:rFonts w:cs="Arial"/>
          <w:b/>
          <w:bCs/>
          <w:sz w:val="28"/>
          <w:szCs w:val="28"/>
        </w:rPr>
        <w:t xml:space="preserve">Individual Placement Description </w:t>
      </w:r>
    </w:p>
    <w:p w:rsidR="00081DA8" w:rsidRDefault="00081DA8" w:rsidP="00081DA8">
      <w:pPr>
        <w:jc w:val="center"/>
        <w:rPr>
          <w:rFonts w:cs="Arial"/>
          <w:b/>
          <w:bCs/>
          <w:sz w:val="28"/>
          <w:szCs w:val="28"/>
        </w:rPr>
      </w:pPr>
    </w:p>
    <w:p w:rsidR="00081DA8" w:rsidRDefault="00081DA8" w:rsidP="00081DA8">
      <w:pPr>
        <w:jc w:val="center"/>
        <w:rPr>
          <w:rFonts w:cs="Arial"/>
          <w:b/>
          <w:bCs/>
          <w:sz w:val="28"/>
          <w:szCs w:val="28"/>
        </w:rPr>
      </w:pPr>
      <w:r>
        <w:rPr>
          <w:rFonts w:cs="Arial"/>
          <w:b/>
          <w:bCs/>
          <w:sz w:val="28"/>
          <w:szCs w:val="28"/>
        </w:rPr>
        <w:t>Cambridge University Hospitals NHS Foundation Trust</w:t>
      </w:r>
    </w:p>
    <w:p w:rsidR="00081DA8" w:rsidRDefault="00081DA8" w:rsidP="00081DA8">
      <w:pPr>
        <w:rPr>
          <w:rFonts w:cs="Arial"/>
          <w:b/>
          <w:bCs/>
          <w:sz w:val="22"/>
          <w:szCs w:val="22"/>
        </w:rPr>
      </w:pPr>
    </w:p>
    <w:p w:rsidR="00081DA8" w:rsidRDefault="00081DA8" w:rsidP="00081DA8">
      <w:pPr>
        <w:rPr>
          <w:rFonts w:cs="Arial"/>
          <w:sz w:val="22"/>
          <w:szCs w:val="22"/>
        </w:rPr>
      </w:pPr>
      <w:proofErr w:type="gramStart"/>
      <w:r>
        <w:rPr>
          <w:rFonts w:cs="Arial"/>
          <w:sz w:val="22"/>
          <w:szCs w:val="22"/>
        </w:rPr>
        <w:t>All information to be completed by the Foundation School.</w:t>
      </w:r>
      <w:proofErr w:type="gramEnd"/>
    </w:p>
    <w:p w:rsidR="00081DA8" w:rsidRDefault="00081DA8" w:rsidP="00081DA8">
      <w:pPr>
        <w:rPr>
          <w:rFonts w:cs="Arial"/>
          <w:b/>
          <w:bCs/>
          <w:sz w:val="22"/>
          <w:szCs w:val="22"/>
        </w:rPr>
      </w:pPr>
    </w:p>
    <w:tbl>
      <w:tblPr>
        <w:tblW w:w="8028" w:type="dxa"/>
        <w:tblInd w:w="-106" w:type="dxa"/>
        <w:tblLook w:val="01E0" w:firstRow="1" w:lastRow="1" w:firstColumn="1" w:lastColumn="1" w:noHBand="0" w:noVBand="0"/>
      </w:tblPr>
      <w:tblGrid>
        <w:gridCol w:w="3851"/>
        <w:gridCol w:w="4177"/>
      </w:tblGrid>
      <w:tr w:rsidR="00081DA8" w:rsidTr="00081DA8">
        <w:trPr>
          <w:trHeight w:val="144"/>
        </w:trPr>
        <w:tc>
          <w:tcPr>
            <w:tcW w:w="3851" w:type="dxa"/>
            <w:hideMark/>
          </w:tcPr>
          <w:p w:rsidR="00081DA8" w:rsidRDefault="00081DA8">
            <w:pPr>
              <w:jc w:val="both"/>
              <w:rPr>
                <w:rFonts w:cs="Arial"/>
                <w:b/>
                <w:bCs/>
                <w:lang w:val="en-US" w:eastAsia="en-US"/>
              </w:rPr>
            </w:pPr>
            <w:r>
              <w:rPr>
                <w:rFonts w:cs="Arial"/>
                <w:b/>
                <w:bCs/>
                <w:sz w:val="22"/>
                <w:szCs w:val="22"/>
              </w:rPr>
              <w:t>Placement</w:t>
            </w:r>
          </w:p>
        </w:tc>
        <w:tc>
          <w:tcPr>
            <w:tcW w:w="4177" w:type="dxa"/>
          </w:tcPr>
          <w:p w:rsidR="00081DA8" w:rsidRDefault="00081DA8">
            <w:pPr>
              <w:jc w:val="both"/>
              <w:rPr>
                <w:rFonts w:cs="Arial"/>
                <w:lang w:val="en-US" w:eastAsia="en-US"/>
              </w:rPr>
            </w:pPr>
            <w:r>
              <w:rPr>
                <w:rFonts w:cs="Arial"/>
              </w:rPr>
              <w:t>FY1</w:t>
            </w:r>
          </w:p>
          <w:p w:rsidR="00081DA8" w:rsidRDefault="00081DA8">
            <w:pPr>
              <w:jc w:val="both"/>
              <w:rPr>
                <w:rFonts w:cs="Arial"/>
                <w:lang w:val="en-US" w:eastAsia="en-US"/>
              </w:rPr>
            </w:pPr>
          </w:p>
        </w:tc>
      </w:tr>
      <w:tr w:rsidR="00081DA8" w:rsidTr="00081DA8">
        <w:trPr>
          <w:trHeight w:val="144"/>
        </w:trPr>
        <w:tc>
          <w:tcPr>
            <w:tcW w:w="3851" w:type="dxa"/>
            <w:hideMark/>
          </w:tcPr>
          <w:p w:rsidR="00081DA8" w:rsidRDefault="00081DA8">
            <w:pPr>
              <w:rPr>
                <w:rFonts w:cs="Arial"/>
                <w:b/>
                <w:bCs/>
                <w:lang w:val="en-US" w:eastAsia="en-US"/>
              </w:rPr>
            </w:pPr>
            <w:r>
              <w:rPr>
                <w:rFonts w:cs="Arial"/>
                <w:b/>
                <w:bCs/>
                <w:sz w:val="22"/>
                <w:szCs w:val="22"/>
              </w:rPr>
              <w:t>The department</w:t>
            </w:r>
          </w:p>
        </w:tc>
        <w:tc>
          <w:tcPr>
            <w:tcW w:w="4177" w:type="dxa"/>
          </w:tcPr>
          <w:p w:rsidR="00081DA8" w:rsidRDefault="00081DA8">
            <w:pPr>
              <w:jc w:val="both"/>
              <w:rPr>
                <w:rFonts w:cs="Arial"/>
                <w:lang w:val="en-US" w:eastAsia="en-US"/>
              </w:rPr>
            </w:pPr>
            <w:r>
              <w:rPr>
                <w:rFonts w:cs="Arial"/>
                <w:sz w:val="22"/>
                <w:szCs w:val="22"/>
              </w:rPr>
              <w:t xml:space="preserve">The Urology Department provides a service for adult Urology to part of East Anglia in addition to fulfilling its District Hospital functions.  The Urology ward and theatres moved to the new </w:t>
            </w:r>
            <w:proofErr w:type="spellStart"/>
            <w:r>
              <w:rPr>
                <w:rFonts w:cs="Arial"/>
                <w:sz w:val="22"/>
                <w:szCs w:val="22"/>
              </w:rPr>
              <w:t>Addenbrooke’s</w:t>
            </w:r>
            <w:proofErr w:type="spellEnd"/>
            <w:r>
              <w:rPr>
                <w:rFonts w:cs="Arial"/>
                <w:sz w:val="22"/>
                <w:szCs w:val="22"/>
              </w:rPr>
              <w:t xml:space="preserve"> treatment Centre in 2007 which offers a very attractive environment for patients and staff. Two theatres are used for in-patient surgery, supplemented by a dedicated day unit at Hinchingbrooke Hospital where the department currently has three lists per week. The Urology Clinic provides the facilities for outpatient consultations, and for specialist clinics, including prostatic biopsies, flexible cystoscopy, lithotripsy, prostate diagnostic sessions, </w:t>
            </w:r>
            <w:proofErr w:type="spellStart"/>
            <w:r>
              <w:rPr>
                <w:rFonts w:cs="Arial"/>
                <w:sz w:val="22"/>
                <w:szCs w:val="22"/>
              </w:rPr>
              <w:t>urodynamics</w:t>
            </w:r>
            <w:proofErr w:type="spellEnd"/>
            <w:r>
              <w:rPr>
                <w:rFonts w:cs="Arial"/>
                <w:sz w:val="22"/>
                <w:szCs w:val="22"/>
              </w:rPr>
              <w:t xml:space="preserve">, </w:t>
            </w:r>
            <w:proofErr w:type="spellStart"/>
            <w:r>
              <w:rPr>
                <w:rFonts w:cs="Arial"/>
                <w:sz w:val="22"/>
                <w:szCs w:val="22"/>
              </w:rPr>
              <w:t>intravesical</w:t>
            </w:r>
            <w:proofErr w:type="spellEnd"/>
            <w:r>
              <w:rPr>
                <w:rFonts w:cs="Arial"/>
                <w:sz w:val="22"/>
                <w:szCs w:val="22"/>
              </w:rPr>
              <w:t xml:space="preserve"> chemotherapy and erectile dysfunction clinics. The Department merged with Urology at Hinchingbrooke Hospital in Huntingdon in April 2004, so that the service at Hinchingbrooke is provided medically very largely by the 5 NHS consultants who do a day-case list and a clinic one day each week at Hinchingbrooke. This extends the local catchment population for the combined Department from around 410,000 to around 570,000.</w:t>
            </w:r>
          </w:p>
          <w:p w:rsidR="00081DA8" w:rsidRDefault="00081DA8">
            <w:pPr>
              <w:jc w:val="both"/>
              <w:rPr>
                <w:rFonts w:cs="Arial"/>
              </w:rPr>
            </w:pPr>
          </w:p>
          <w:p w:rsidR="00081DA8" w:rsidRDefault="00081DA8">
            <w:pPr>
              <w:jc w:val="both"/>
              <w:rPr>
                <w:rFonts w:cs="Arial"/>
              </w:rPr>
            </w:pPr>
            <w:r>
              <w:rPr>
                <w:rFonts w:cs="Arial"/>
                <w:sz w:val="22"/>
                <w:szCs w:val="22"/>
              </w:rPr>
              <w:t xml:space="preserve">The Department has been designated by the West Anglian Cancer Network (population around 1.5 million) as its Cancer Centre for Urology. All radical prostatectomy, radical cystectomy and complex renal cancer surgery from the network is done at </w:t>
            </w:r>
            <w:proofErr w:type="spellStart"/>
            <w:r>
              <w:rPr>
                <w:rFonts w:cs="Arial"/>
                <w:sz w:val="22"/>
                <w:szCs w:val="22"/>
              </w:rPr>
              <w:t>Addenbrooke’s</w:t>
            </w:r>
            <w:proofErr w:type="spellEnd"/>
            <w:r>
              <w:rPr>
                <w:rFonts w:cs="Arial"/>
                <w:sz w:val="22"/>
                <w:szCs w:val="22"/>
              </w:rPr>
              <w:t xml:space="preserve">. Da Vinci laparoscopic robotic prostatectomy and Brachytherapy which is jointly delivered by Urology and Oncology are both offered as treatment options for </w:t>
            </w:r>
            <w:r>
              <w:rPr>
                <w:rFonts w:cs="Arial"/>
                <w:sz w:val="22"/>
                <w:szCs w:val="22"/>
              </w:rPr>
              <w:lastRenderedPageBreak/>
              <w:t xml:space="preserve">localised prostate cancer. The Department has extensive experience with bladder substitution following radical cystectomy, and with nephron-sparing surgery for renal cancer. </w:t>
            </w:r>
            <w:proofErr w:type="spellStart"/>
            <w:r>
              <w:rPr>
                <w:rFonts w:cs="Arial"/>
                <w:sz w:val="22"/>
                <w:szCs w:val="22"/>
              </w:rPr>
              <w:t>Addenbrooke’s</w:t>
            </w:r>
            <w:proofErr w:type="spellEnd"/>
            <w:r>
              <w:rPr>
                <w:rFonts w:cs="Arial"/>
                <w:sz w:val="22"/>
                <w:szCs w:val="22"/>
              </w:rPr>
              <w:t xml:space="preserve"> has a cryotherapy programme for renal cancer. Retroperitoneal lymph node dissection for advanced testis cancer is carried out for East Anglia at </w:t>
            </w:r>
            <w:proofErr w:type="spellStart"/>
            <w:r>
              <w:rPr>
                <w:rFonts w:cs="Arial"/>
                <w:sz w:val="22"/>
                <w:szCs w:val="22"/>
              </w:rPr>
              <w:t>Addenbrooke’s</w:t>
            </w:r>
            <w:proofErr w:type="spellEnd"/>
            <w:r>
              <w:rPr>
                <w:rFonts w:cs="Arial"/>
                <w:sz w:val="22"/>
                <w:szCs w:val="22"/>
              </w:rPr>
              <w:t>. The hub of cancer management is the weekly multidisciplinary team meeting, which currently video links with Bedford, Bury St Edmunds, Hinchingbrooke, and Peterborough.</w:t>
            </w:r>
          </w:p>
          <w:p w:rsidR="00081DA8" w:rsidRDefault="00081DA8">
            <w:pPr>
              <w:jc w:val="both"/>
              <w:rPr>
                <w:rFonts w:cs="Arial"/>
              </w:rPr>
            </w:pPr>
          </w:p>
          <w:p w:rsidR="00081DA8" w:rsidRDefault="00081DA8">
            <w:pPr>
              <w:jc w:val="both"/>
              <w:rPr>
                <w:rFonts w:cs="Arial"/>
              </w:rPr>
            </w:pPr>
            <w:r>
              <w:rPr>
                <w:rFonts w:cs="Arial"/>
                <w:sz w:val="22"/>
                <w:szCs w:val="22"/>
              </w:rPr>
              <w:t xml:space="preserve">Stone, </w:t>
            </w:r>
            <w:proofErr w:type="spellStart"/>
            <w:r>
              <w:rPr>
                <w:rFonts w:cs="Arial"/>
                <w:sz w:val="22"/>
                <w:szCs w:val="22"/>
              </w:rPr>
              <w:t>endourology</w:t>
            </w:r>
            <w:proofErr w:type="spellEnd"/>
            <w:r>
              <w:rPr>
                <w:rFonts w:cs="Arial"/>
                <w:sz w:val="22"/>
                <w:szCs w:val="22"/>
              </w:rPr>
              <w:t xml:space="preserve"> and laparoscopy services include percutaneous stone surgery, flexible </w:t>
            </w:r>
            <w:proofErr w:type="spellStart"/>
            <w:r>
              <w:rPr>
                <w:rFonts w:cs="Arial"/>
                <w:sz w:val="22"/>
                <w:szCs w:val="22"/>
              </w:rPr>
              <w:t>ureteroscopy</w:t>
            </w:r>
            <w:proofErr w:type="spellEnd"/>
            <w:r>
              <w:rPr>
                <w:rFonts w:cs="Arial"/>
                <w:sz w:val="22"/>
                <w:szCs w:val="22"/>
              </w:rPr>
              <w:t xml:space="preserve">, ESWL with </w:t>
            </w:r>
            <w:proofErr w:type="spellStart"/>
            <w:r>
              <w:rPr>
                <w:rFonts w:cs="Arial"/>
                <w:sz w:val="22"/>
                <w:szCs w:val="22"/>
              </w:rPr>
              <w:t>Storz</w:t>
            </w:r>
            <w:proofErr w:type="spellEnd"/>
            <w:r>
              <w:rPr>
                <w:rFonts w:cs="Arial"/>
                <w:sz w:val="22"/>
                <w:szCs w:val="22"/>
              </w:rPr>
              <w:t xml:space="preserve"> lithotripter housed in the Urology clinic, and laparoscopic surgery for renal cancer, upper tract TCC, PUJ obstruction, and non-functioning kidneys. The Department at both </w:t>
            </w:r>
            <w:proofErr w:type="spellStart"/>
            <w:r>
              <w:rPr>
                <w:rFonts w:cs="Arial"/>
                <w:sz w:val="22"/>
                <w:szCs w:val="22"/>
              </w:rPr>
              <w:t>Addenbrooke’s</w:t>
            </w:r>
            <w:proofErr w:type="spellEnd"/>
            <w:r>
              <w:rPr>
                <w:rFonts w:cs="Arial"/>
                <w:sz w:val="22"/>
                <w:szCs w:val="22"/>
              </w:rPr>
              <w:t xml:space="preserve"> and Hinchingbrooke has Holmium lasers, allowing laser prostatectomy, laser stone ablation and incision of bladder necks and urethral strictures. </w:t>
            </w:r>
            <w:proofErr w:type="spellStart"/>
            <w:r>
              <w:rPr>
                <w:rFonts w:cs="Arial"/>
                <w:sz w:val="22"/>
                <w:szCs w:val="22"/>
              </w:rPr>
              <w:t>Addenbrooke’s</w:t>
            </w:r>
            <w:proofErr w:type="spellEnd"/>
            <w:r>
              <w:rPr>
                <w:rFonts w:cs="Arial"/>
                <w:sz w:val="22"/>
                <w:szCs w:val="22"/>
              </w:rPr>
              <w:t xml:space="preserve"> is recognised as a centre of excellence for Holmium Laser Enucleation of the Prostate. A stone multidisciplinary team meeting co-ordinates the management of this </w:t>
            </w:r>
            <w:proofErr w:type="gramStart"/>
            <w:r>
              <w:rPr>
                <w:rFonts w:cs="Arial"/>
                <w:sz w:val="22"/>
                <w:szCs w:val="22"/>
              </w:rPr>
              <w:t>service,</w:t>
            </w:r>
            <w:proofErr w:type="gramEnd"/>
            <w:r>
              <w:rPr>
                <w:rFonts w:cs="Arial"/>
                <w:sz w:val="22"/>
                <w:szCs w:val="22"/>
              </w:rPr>
              <w:t xml:space="preserve"> and a Joint metabolic stone clinic exists, run with Nephrology.</w:t>
            </w:r>
          </w:p>
          <w:p w:rsidR="00081DA8" w:rsidRDefault="00081DA8">
            <w:pPr>
              <w:jc w:val="both"/>
              <w:rPr>
                <w:rFonts w:cs="Arial"/>
              </w:rPr>
            </w:pPr>
          </w:p>
          <w:p w:rsidR="00081DA8" w:rsidRDefault="00081DA8">
            <w:pPr>
              <w:jc w:val="both"/>
              <w:rPr>
                <w:rFonts w:cs="Arial"/>
              </w:rPr>
            </w:pPr>
            <w:r>
              <w:rPr>
                <w:rFonts w:cs="Arial"/>
                <w:sz w:val="22"/>
                <w:szCs w:val="22"/>
              </w:rPr>
              <w:t xml:space="preserve">Continence services are provided in a multidisciplinary manner by joint working with </w:t>
            </w:r>
            <w:proofErr w:type="spellStart"/>
            <w:r>
              <w:rPr>
                <w:rFonts w:cs="Arial"/>
                <w:sz w:val="22"/>
                <w:szCs w:val="22"/>
              </w:rPr>
              <w:t>Uro</w:t>
            </w:r>
            <w:proofErr w:type="spellEnd"/>
            <w:r>
              <w:rPr>
                <w:rFonts w:cs="Arial"/>
                <w:sz w:val="22"/>
                <w:szCs w:val="22"/>
              </w:rPr>
              <w:t xml:space="preserve">-Gynaecology, Urology Specialist nurses and a specialist pelvic floor physiotherapist. There is a large Neuro-Urology practice that comes from the Regional Neurosciences Centre, based at </w:t>
            </w:r>
            <w:proofErr w:type="spellStart"/>
            <w:r>
              <w:rPr>
                <w:rFonts w:cs="Arial"/>
                <w:sz w:val="22"/>
                <w:szCs w:val="22"/>
              </w:rPr>
              <w:t>Addenbrooke’s</w:t>
            </w:r>
            <w:proofErr w:type="spellEnd"/>
            <w:r>
              <w:rPr>
                <w:rFonts w:cs="Arial"/>
                <w:sz w:val="22"/>
                <w:szCs w:val="22"/>
              </w:rPr>
              <w:t xml:space="preserve">, and </w:t>
            </w:r>
            <w:proofErr w:type="spellStart"/>
            <w:r>
              <w:rPr>
                <w:rFonts w:cs="Arial"/>
                <w:sz w:val="22"/>
                <w:szCs w:val="22"/>
              </w:rPr>
              <w:t>Addenbrooke’s</w:t>
            </w:r>
            <w:proofErr w:type="spellEnd"/>
            <w:r>
              <w:rPr>
                <w:rFonts w:cs="Arial"/>
                <w:sz w:val="22"/>
                <w:szCs w:val="22"/>
              </w:rPr>
              <w:t xml:space="preserve"> Rehabilitation Unit. As well as surgery for stress urinary incontinence, bladder augmentation and </w:t>
            </w:r>
            <w:proofErr w:type="spellStart"/>
            <w:r>
              <w:rPr>
                <w:rFonts w:cs="Arial"/>
                <w:sz w:val="22"/>
                <w:szCs w:val="22"/>
              </w:rPr>
              <w:t>catheterisable</w:t>
            </w:r>
            <w:proofErr w:type="spellEnd"/>
            <w:r>
              <w:rPr>
                <w:rFonts w:cs="Arial"/>
                <w:sz w:val="22"/>
                <w:szCs w:val="22"/>
              </w:rPr>
              <w:t xml:space="preserve"> urinary stoma surgery is done. There is a Joint Urology/</w:t>
            </w:r>
            <w:proofErr w:type="spellStart"/>
            <w:r>
              <w:rPr>
                <w:rFonts w:cs="Arial"/>
                <w:sz w:val="22"/>
                <w:szCs w:val="22"/>
              </w:rPr>
              <w:t>Uro</w:t>
            </w:r>
            <w:proofErr w:type="spellEnd"/>
            <w:r>
              <w:rPr>
                <w:rFonts w:cs="Arial"/>
                <w:sz w:val="22"/>
                <w:szCs w:val="22"/>
              </w:rPr>
              <w:t>-Gynaecology Continence clinic.</w:t>
            </w:r>
          </w:p>
          <w:p w:rsidR="00081DA8" w:rsidRDefault="00081DA8">
            <w:pPr>
              <w:rPr>
                <w:rFonts w:cs="Arial"/>
              </w:rPr>
            </w:pPr>
          </w:p>
          <w:p w:rsidR="00081DA8" w:rsidRDefault="00081DA8">
            <w:pPr>
              <w:rPr>
                <w:rFonts w:cs="Arial"/>
                <w:lang w:val="en-US" w:eastAsia="en-US"/>
              </w:rPr>
            </w:pPr>
          </w:p>
        </w:tc>
      </w:tr>
      <w:tr w:rsidR="00081DA8" w:rsidTr="00081DA8">
        <w:trPr>
          <w:trHeight w:val="144"/>
        </w:trPr>
        <w:tc>
          <w:tcPr>
            <w:tcW w:w="3851" w:type="dxa"/>
            <w:hideMark/>
          </w:tcPr>
          <w:p w:rsidR="00081DA8" w:rsidRDefault="00081DA8">
            <w:pPr>
              <w:rPr>
                <w:rFonts w:cs="Arial"/>
                <w:b/>
                <w:bCs/>
                <w:lang w:val="en-US" w:eastAsia="en-US"/>
              </w:rPr>
            </w:pPr>
            <w:r>
              <w:rPr>
                <w:rFonts w:cs="Arial"/>
                <w:b/>
                <w:bCs/>
                <w:sz w:val="22"/>
                <w:szCs w:val="22"/>
              </w:rPr>
              <w:lastRenderedPageBreak/>
              <w:t xml:space="preserve">The type of work to expect and </w:t>
            </w:r>
            <w:r>
              <w:rPr>
                <w:rFonts w:cs="Arial"/>
                <w:b/>
                <w:bCs/>
                <w:sz w:val="22"/>
                <w:szCs w:val="22"/>
              </w:rPr>
              <w:lastRenderedPageBreak/>
              <w:t>learning opportunities</w:t>
            </w:r>
          </w:p>
        </w:tc>
        <w:tc>
          <w:tcPr>
            <w:tcW w:w="4177" w:type="dxa"/>
          </w:tcPr>
          <w:p w:rsidR="00081DA8" w:rsidRDefault="00081DA8">
            <w:pPr>
              <w:rPr>
                <w:rFonts w:cs="Arial"/>
                <w:lang w:val="en-US" w:eastAsia="en-US"/>
              </w:rPr>
            </w:pPr>
            <w:r>
              <w:rPr>
                <w:rFonts w:cs="Arial"/>
              </w:rPr>
              <w:lastRenderedPageBreak/>
              <w:t>Core FY1 activities on the ward.</w:t>
            </w:r>
          </w:p>
          <w:p w:rsidR="00081DA8" w:rsidRDefault="00081DA8">
            <w:pPr>
              <w:jc w:val="both"/>
              <w:rPr>
                <w:rFonts w:cs="Arial"/>
              </w:rPr>
            </w:pPr>
            <w:r>
              <w:rPr>
                <w:rFonts w:cs="Arial"/>
                <w:sz w:val="22"/>
                <w:szCs w:val="22"/>
              </w:rPr>
              <w:lastRenderedPageBreak/>
              <w:t xml:space="preserve">The overall educational objectives of the F1 year are to provide the trainee with the knowledge, skills and attitudes to be able to </w:t>
            </w:r>
          </w:p>
          <w:p w:rsidR="00081DA8" w:rsidRDefault="00081DA8" w:rsidP="00081DA8">
            <w:pPr>
              <w:numPr>
                <w:ilvl w:val="0"/>
                <w:numId w:val="14"/>
              </w:numPr>
              <w:jc w:val="both"/>
              <w:rPr>
                <w:rFonts w:cs="Arial"/>
              </w:rPr>
            </w:pPr>
            <w:r>
              <w:rPr>
                <w:rFonts w:cs="Arial"/>
                <w:sz w:val="22"/>
                <w:szCs w:val="22"/>
              </w:rPr>
              <w:t>Take a history and examine a patient</w:t>
            </w:r>
          </w:p>
          <w:p w:rsidR="00081DA8" w:rsidRDefault="00081DA8" w:rsidP="00081DA8">
            <w:pPr>
              <w:numPr>
                <w:ilvl w:val="0"/>
                <w:numId w:val="15"/>
              </w:numPr>
              <w:jc w:val="both"/>
              <w:rPr>
                <w:rFonts w:cs="Arial"/>
              </w:rPr>
            </w:pPr>
            <w:r>
              <w:rPr>
                <w:rFonts w:cs="Arial"/>
                <w:sz w:val="22"/>
                <w:szCs w:val="22"/>
              </w:rPr>
              <w:t>Identify and synthesise problems</w:t>
            </w:r>
          </w:p>
          <w:p w:rsidR="00081DA8" w:rsidRDefault="00081DA8" w:rsidP="00081DA8">
            <w:pPr>
              <w:numPr>
                <w:ilvl w:val="0"/>
                <w:numId w:val="15"/>
              </w:numPr>
              <w:jc w:val="both"/>
              <w:rPr>
                <w:rFonts w:cs="Arial"/>
              </w:rPr>
            </w:pPr>
            <w:r>
              <w:rPr>
                <w:rFonts w:cs="Arial"/>
                <w:sz w:val="22"/>
                <w:szCs w:val="22"/>
              </w:rPr>
              <w:t>Prescribe safely</w:t>
            </w:r>
          </w:p>
          <w:p w:rsidR="00081DA8" w:rsidRDefault="00081DA8" w:rsidP="00081DA8">
            <w:pPr>
              <w:numPr>
                <w:ilvl w:val="0"/>
                <w:numId w:val="15"/>
              </w:numPr>
              <w:jc w:val="both"/>
              <w:rPr>
                <w:rFonts w:cs="Arial"/>
              </w:rPr>
            </w:pPr>
            <w:r>
              <w:rPr>
                <w:rFonts w:cs="Arial"/>
                <w:sz w:val="22"/>
                <w:szCs w:val="22"/>
              </w:rPr>
              <w:t xml:space="preserve">Keep an accurate and relevant medical record </w:t>
            </w:r>
          </w:p>
          <w:p w:rsidR="00081DA8" w:rsidRDefault="00081DA8" w:rsidP="00081DA8">
            <w:pPr>
              <w:numPr>
                <w:ilvl w:val="0"/>
                <w:numId w:val="15"/>
              </w:numPr>
              <w:jc w:val="both"/>
              <w:rPr>
                <w:rFonts w:cs="Arial"/>
              </w:rPr>
            </w:pPr>
            <w:r>
              <w:rPr>
                <w:rFonts w:cs="Arial"/>
                <w:sz w:val="22"/>
                <w:szCs w:val="22"/>
              </w:rPr>
              <w:t>Manage time and clinical priorities effectively</w:t>
            </w:r>
          </w:p>
          <w:p w:rsidR="00081DA8" w:rsidRDefault="00081DA8" w:rsidP="00081DA8">
            <w:pPr>
              <w:numPr>
                <w:ilvl w:val="0"/>
                <w:numId w:val="15"/>
              </w:numPr>
              <w:jc w:val="both"/>
              <w:rPr>
                <w:rFonts w:cs="Arial"/>
              </w:rPr>
            </w:pPr>
            <w:r>
              <w:rPr>
                <w:rFonts w:cs="Arial"/>
                <w:sz w:val="22"/>
                <w:szCs w:val="22"/>
              </w:rPr>
              <w:t>Communicate effectively with patients, relatives and colleagues</w:t>
            </w:r>
          </w:p>
          <w:p w:rsidR="00081DA8" w:rsidRDefault="00081DA8" w:rsidP="00081DA8">
            <w:pPr>
              <w:numPr>
                <w:ilvl w:val="0"/>
                <w:numId w:val="15"/>
              </w:numPr>
              <w:jc w:val="both"/>
              <w:rPr>
                <w:rFonts w:cs="Arial"/>
              </w:rPr>
            </w:pPr>
            <w:r>
              <w:rPr>
                <w:rFonts w:cs="Arial"/>
                <w:sz w:val="22"/>
                <w:szCs w:val="22"/>
              </w:rPr>
              <w:t>Use evidence, guidelines and audit to benefit patient care</w:t>
            </w:r>
          </w:p>
          <w:p w:rsidR="00081DA8" w:rsidRDefault="00081DA8" w:rsidP="00081DA8">
            <w:pPr>
              <w:numPr>
                <w:ilvl w:val="0"/>
                <w:numId w:val="15"/>
              </w:numPr>
              <w:jc w:val="both"/>
              <w:rPr>
                <w:rFonts w:cs="Arial"/>
              </w:rPr>
            </w:pPr>
            <w:r>
              <w:rPr>
                <w:rFonts w:cs="Arial"/>
                <w:sz w:val="22"/>
                <w:szCs w:val="22"/>
              </w:rPr>
              <w:t>Act in a professional manner at all times</w:t>
            </w:r>
          </w:p>
          <w:p w:rsidR="00081DA8" w:rsidRDefault="00081DA8" w:rsidP="00081DA8">
            <w:pPr>
              <w:numPr>
                <w:ilvl w:val="0"/>
                <w:numId w:val="15"/>
              </w:numPr>
              <w:jc w:val="both"/>
              <w:rPr>
                <w:rFonts w:cs="Arial"/>
              </w:rPr>
            </w:pPr>
            <w:r>
              <w:rPr>
                <w:rFonts w:cs="Arial"/>
                <w:sz w:val="22"/>
                <w:szCs w:val="22"/>
              </w:rPr>
              <w:t>Cope with ethical and legal issues which occur during the management of patients with general medical problems</w:t>
            </w:r>
          </w:p>
          <w:p w:rsidR="00081DA8" w:rsidRDefault="00081DA8" w:rsidP="00081DA8">
            <w:pPr>
              <w:numPr>
                <w:ilvl w:val="0"/>
                <w:numId w:val="15"/>
              </w:numPr>
              <w:jc w:val="both"/>
              <w:rPr>
                <w:rFonts w:cs="Arial"/>
              </w:rPr>
            </w:pPr>
            <w:r>
              <w:rPr>
                <w:rFonts w:cs="Arial"/>
                <w:sz w:val="22"/>
                <w:szCs w:val="22"/>
              </w:rPr>
              <w:t>Educate patients effectively</w:t>
            </w:r>
          </w:p>
          <w:p w:rsidR="00081DA8" w:rsidRDefault="00081DA8">
            <w:pPr>
              <w:rPr>
                <w:rFonts w:cs="Arial"/>
              </w:rPr>
            </w:pPr>
            <w:r>
              <w:rPr>
                <w:rFonts w:cs="Arial"/>
                <w:sz w:val="22"/>
                <w:szCs w:val="22"/>
              </w:rPr>
              <w:t>Become life-long learners and teachers.</w:t>
            </w:r>
          </w:p>
          <w:p w:rsidR="00081DA8" w:rsidRDefault="00081DA8">
            <w:pPr>
              <w:rPr>
                <w:rFonts w:cs="Arial"/>
                <w:lang w:val="en-US" w:eastAsia="en-US"/>
              </w:rPr>
            </w:pPr>
          </w:p>
        </w:tc>
      </w:tr>
      <w:tr w:rsidR="00081DA8" w:rsidTr="00081DA8">
        <w:trPr>
          <w:trHeight w:val="144"/>
        </w:trPr>
        <w:tc>
          <w:tcPr>
            <w:tcW w:w="3851" w:type="dxa"/>
            <w:hideMark/>
          </w:tcPr>
          <w:p w:rsidR="00081DA8" w:rsidRDefault="00081DA8">
            <w:pPr>
              <w:jc w:val="both"/>
              <w:rPr>
                <w:rFonts w:cs="Arial"/>
                <w:b/>
                <w:bCs/>
                <w:lang w:val="en-US" w:eastAsia="en-US"/>
              </w:rPr>
            </w:pPr>
            <w:r>
              <w:rPr>
                <w:rFonts w:cs="Arial"/>
                <w:b/>
                <w:bCs/>
                <w:sz w:val="22"/>
                <w:szCs w:val="22"/>
              </w:rPr>
              <w:lastRenderedPageBreak/>
              <w:t>Where the placement is based</w:t>
            </w:r>
          </w:p>
        </w:tc>
        <w:tc>
          <w:tcPr>
            <w:tcW w:w="4177" w:type="dxa"/>
          </w:tcPr>
          <w:p w:rsidR="00081DA8" w:rsidRDefault="00081DA8">
            <w:pPr>
              <w:jc w:val="both"/>
              <w:rPr>
                <w:rFonts w:cs="Arial"/>
                <w:lang w:val="en-US" w:eastAsia="en-US"/>
              </w:rPr>
            </w:pPr>
            <w:r>
              <w:rPr>
                <w:rFonts w:cs="Arial"/>
              </w:rPr>
              <w:t>Addenbrookes Hospital.</w:t>
            </w:r>
          </w:p>
          <w:p w:rsidR="00081DA8" w:rsidRDefault="00081DA8">
            <w:pPr>
              <w:jc w:val="both"/>
              <w:rPr>
                <w:rFonts w:cs="Arial"/>
                <w:lang w:val="en-US" w:eastAsia="en-US"/>
              </w:rPr>
            </w:pPr>
          </w:p>
        </w:tc>
      </w:tr>
      <w:tr w:rsidR="00081DA8" w:rsidTr="00081DA8">
        <w:trPr>
          <w:trHeight w:val="144"/>
        </w:trPr>
        <w:tc>
          <w:tcPr>
            <w:tcW w:w="3851" w:type="dxa"/>
            <w:hideMark/>
          </w:tcPr>
          <w:p w:rsidR="00081DA8" w:rsidRDefault="00081DA8">
            <w:pPr>
              <w:jc w:val="both"/>
              <w:rPr>
                <w:rFonts w:cs="Arial"/>
                <w:b/>
                <w:bCs/>
                <w:lang w:val="en-US" w:eastAsia="en-US"/>
              </w:rPr>
            </w:pPr>
            <w:r>
              <w:rPr>
                <w:rFonts w:cs="Arial"/>
                <w:b/>
                <w:bCs/>
                <w:sz w:val="22"/>
                <w:szCs w:val="22"/>
              </w:rPr>
              <w:t>Clinical Supervisor(s) for the placement</w:t>
            </w:r>
          </w:p>
        </w:tc>
        <w:tc>
          <w:tcPr>
            <w:tcW w:w="4177" w:type="dxa"/>
          </w:tcPr>
          <w:p w:rsidR="00081DA8" w:rsidRDefault="00081DA8">
            <w:pPr>
              <w:jc w:val="both"/>
              <w:rPr>
                <w:rFonts w:cs="Arial"/>
                <w:lang w:val="en-US" w:eastAsia="en-US"/>
              </w:rPr>
            </w:pPr>
            <w:r>
              <w:rPr>
                <w:rFonts w:cs="Arial"/>
                <w:sz w:val="22"/>
                <w:szCs w:val="22"/>
              </w:rPr>
              <w:t>Urology consultant (variable)</w:t>
            </w:r>
          </w:p>
          <w:p w:rsidR="00081DA8" w:rsidRDefault="00081DA8">
            <w:pPr>
              <w:jc w:val="both"/>
              <w:rPr>
                <w:rFonts w:cs="Arial"/>
                <w:lang w:val="en-US" w:eastAsia="en-US"/>
              </w:rPr>
            </w:pPr>
          </w:p>
        </w:tc>
      </w:tr>
      <w:tr w:rsidR="00081DA8" w:rsidTr="00081DA8">
        <w:trPr>
          <w:trHeight w:val="144"/>
        </w:trPr>
        <w:tc>
          <w:tcPr>
            <w:tcW w:w="3851" w:type="dxa"/>
            <w:hideMark/>
          </w:tcPr>
          <w:p w:rsidR="00081DA8" w:rsidRDefault="00081DA8">
            <w:pPr>
              <w:rPr>
                <w:rFonts w:cs="Arial"/>
                <w:b/>
                <w:bCs/>
                <w:lang w:val="en-US" w:eastAsia="en-US"/>
              </w:rPr>
            </w:pPr>
            <w:r>
              <w:rPr>
                <w:rFonts w:cs="Arial"/>
                <w:b/>
                <w:bCs/>
                <w:sz w:val="22"/>
                <w:szCs w:val="22"/>
              </w:rPr>
              <w:t>Main duties of the placement</w:t>
            </w:r>
          </w:p>
        </w:tc>
        <w:tc>
          <w:tcPr>
            <w:tcW w:w="4177" w:type="dxa"/>
          </w:tcPr>
          <w:p w:rsidR="00081DA8" w:rsidRDefault="00081DA8">
            <w:pPr>
              <w:jc w:val="both"/>
              <w:rPr>
                <w:rFonts w:cs="Arial"/>
                <w:lang w:val="en-US" w:eastAsia="en-US"/>
              </w:rPr>
            </w:pPr>
            <w:r>
              <w:rPr>
                <w:rFonts w:cs="Arial"/>
              </w:rPr>
              <w:t>Care of elective and emergency urology patients</w:t>
            </w:r>
          </w:p>
          <w:p w:rsidR="00081DA8" w:rsidRDefault="00081DA8">
            <w:pPr>
              <w:jc w:val="both"/>
              <w:rPr>
                <w:rFonts w:cs="Arial"/>
                <w:lang w:val="en-US" w:eastAsia="en-US"/>
              </w:rPr>
            </w:pPr>
          </w:p>
        </w:tc>
      </w:tr>
      <w:tr w:rsidR="00081DA8" w:rsidTr="00081DA8">
        <w:trPr>
          <w:trHeight w:val="144"/>
        </w:trPr>
        <w:tc>
          <w:tcPr>
            <w:tcW w:w="3851" w:type="dxa"/>
            <w:hideMark/>
          </w:tcPr>
          <w:p w:rsidR="00081DA8" w:rsidRDefault="00081DA8">
            <w:pPr>
              <w:jc w:val="both"/>
              <w:rPr>
                <w:rFonts w:cs="Arial"/>
                <w:b/>
                <w:bCs/>
                <w:lang w:val="en-US" w:eastAsia="en-US"/>
              </w:rPr>
            </w:pPr>
            <w:r>
              <w:rPr>
                <w:rFonts w:cs="Arial"/>
                <w:b/>
                <w:bCs/>
                <w:sz w:val="22"/>
                <w:szCs w:val="22"/>
              </w:rPr>
              <w:t>Typical working pattern in this placement</w:t>
            </w:r>
          </w:p>
        </w:tc>
        <w:tc>
          <w:tcPr>
            <w:tcW w:w="4177" w:type="dxa"/>
          </w:tcPr>
          <w:p w:rsidR="00081DA8" w:rsidRDefault="00081DA8">
            <w:pPr>
              <w:rPr>
                <w:rFonts w:cs="Arial"/>
                <w:lang w:val="en-US" w:eastAsia="en-US"/>
              </w:rPr>
            </w:pPr>
            <w:r>
              <w:rPr>
                <w:rFonts w:cs="Arial"/>
                <w:sz w:val="22"/>
                <w:szCs w:val="22"/>
              </w:rPr>
              <w:t>Typical working pattern in this post  e.g. ward rounds, clinics, theatre sessions</w:t>
            </w:r>
          </w:p>
          <w:p w:rsidR="00081DA8" w:rsidRDefault="00081DA8">
            <w:pPr>
              <w:rPr>
                <w:rFonts w:cs="Arial"/>
              </w:rPr>
            </w:pPr>
            <w:r>
              <w:rPr>
                <w:rFonts w:cs="Arial"/>
                <w:sz w:val="22"/>
                <w:szCs w:val="22"/>
              </w:rPr>
              <w:t xml:space="preserve">Daily/weekly/monthly (if applicable)         </w:t>
            </w:r>
          </w:p>
          <w:p w:rsidR="00081DA8" w:rsidRDefault="00081DA8">
            <w:pPr>
              <w:rPr>
                <w:rFonts w:cs="Arial"/>
              </w:rPr>
            </w:pPr>
          </w:p>
          <w:p w:rsidR="00081DA8" w:rsidRDefault="00081DA8">
            <w:pPr>
              <w:rPr>
                <w:rFonts w:cs="Arial"/>
              </w:rPr>
            </w:pPr>
            <w:r>
              <w:rPr>
                <w:rFonts w:cs="Arial"/>
                <w:sz w:val="22"/>
                <w:szCs w:val="22"/>
              </w:rPr>
              <w:t xml:space="preserve">Mon:            </w:t>
            </w:r>
          </w:p>
          <w:p w:rsidR="00081DA8" w:rsidRDefault="00081DA8">
            <w:pPr>
              <w:rPr>
                <w:rFonts w:cs="Arial"/>
              </w:rPr>
            </w:pPr>
            <w:r>
              <w:rPr>
                <w:rFonts w:cs="Arial"/>
                <w:sz w:val="22"/>
                <w:szCs w:val="22"/>
              </w:rPr>
              <w:t xml:space="preserve">Tues:           </w:t>
            </w:r>
          </w:p>
          <w:p w:rsidR="00081DA8" w:rsidRDefault="00081DA8">
            <w:pPr>
              <w:rPr>
                <w:rFonts w:cs="Arial"/>
              </w:rPr>
            </w:pPr>
            <w:r>
              <w:rPr>
                <w:rFonts w:cs="Arial"/>
                <w:sz w:val="22"/>
                <w:szCs w:val="22"/>
              </w:rPr>
              <w:t xml:space="preserve">Wed:            </w:t>
            </w:r>
          </w:p>
          <w:p w:rsidR="00081DA8" w:rsidRDefault="00081DA8">
            <w:pPr>
              <w:rPr>
                <w:rFonts w:cs="Arial"/>
              </w:rPr>
            </w:pPr>
            <w:r>
              <w:rPr>
                <w:rFonts w:cs="Arial"/>
                <w:sz w:val="22"/>
                <w:szCs w:val="22"/>
              </w:rPr>
              <w:t>Thurs:</w:t>
            </w:r>
          </w:p>
          <w:p w:rsidR="00081DA8" w:rsidRDefault="00081DA8">
            <w:pPr>
              <w:rPr>
                <w:rFonts w:cs="Arial"/>
              </w:rPr>
            </w:pPr>
            <w:r>
              <w:rPr>
                <w:rFonts w:cs="Arial"/>
                <w:sz w:val="22"/>
                <w:szCs w:val="22"/>
              </w:rPr>
              <w:t xml:space="preserve">Fri:                </w:t>
            </w:r>
          </w:p>
          <w:p w:rsidR="00081DA8" w:rsidRDefault="00081DA8">
            <w:pPr>
              <w:rPr>
                <w:rFonts w:cs="Arial"/>
              </w:rPr>
            </w:pPr>
            <w:r>
              <w:rPr>
                <w:rFonts w:cs="Arial"/>
                <w:sz w:val="22"/>
                <w:szCs w:val="22"/>
              </w:rPr>
              <w:t xml:space="preserve">Sat:              </w:t>
            </w:r>
          </w:p>
          <w:p w:rsidR="00081DA8" w:rsidRDefault="00081DA8">
            <w:pPr>
              <w:rPr>
                <w:rFonts w:cs="Arial"/>
              </w:rPr>
            </w:pPr>
            <w:r>
              <w:rPr>
                <w:rFonts w:cs="Arial"/>
                <w:sz w:val="22"/>
                <w:szCs w:val="22"/>
              </w:rPr>
              <w:t xml:space="preserve">Sun:             </w:t>
            </w:r>
          </w:p>
          <w:p w:rsidR="00081DA8" w:rsidRDefault="00081DA8">
            <w:pPr>
              <w:rPr>
                <w:rFonts w:cs="Arial"/>
              </w:rPr>
            </w:pPr>
          </w:p>
          <w:p w:rsidR="00081DA8" w:rsidRDefault="00081DA8">
            <w:pPr>
              <w:rPr>
                <w:rFonts w:cs="Arial"/>
              </w:rPr>
            </w:pPr>
            <w:r>
              <w:rPr>
                <w:rFonts w:cs="Arial"/>
                <w:sz w:val="22"/>
                <w:szCs w:val="22"/>
              </w:rPr>
              <w:t xml:space="preserve">Mon:            </w:t>
            </w:r>
          </w:p>
          <w:p w:rsidR="00081DA8" w:rsidRDefault="00081DA8">
            <w:pPr>
              <w:rPr>
                <w:rFonts w:cs="Arial"/>
              </w:rPr>
            </w:pPr>
            <w:r>
              <w:rPr>
                <w:rFonts w:cs="Arial"/>
                <w:sz w:val="22"/>
                <w:szCs w:val="22"/>
              </w:rPr>
              <w:t xml:space="preserve">Tues:           </w:t>
            </w:r>
          </w:p>
          <w:p w:rsidR="00081DA8" w:rsidRDefault="00081DA8">
            <w:pPr>
              <w:rPr>
                <w:rFonts w:cs="Arial"/>
              </w:rPr>
            </w:pPr>
            <w:r>
              <w:rPr>
                <w:rFonts w:cs="Arial"/>
                <w:sz w:val="22"/>
                <w:szCs w:val="22"/>
              </w:rPr>
              <w:t xml:space="preserve">Wed:            </w:t>
            </w:r>
          </w:p>
          <w:p w:rsidR="00081DA8" w:rsidRDefault="00081DA8">
            <w:pPr>
              <w:rPr>
                <w:rFonts w:cs="Arial"/>
              </w:rPr>
            </w:pPr>
            <w:r>
              <w:rPr>
                <w:rFonts w:cs="Arial"/>
                <w:sz w:val="22"/>
                <w:szCs w:val="22"/>
              </w:rPr>
              <w:t>Thurs:</w:t>
            </w:r>
          </w:p>
          <w:p w:rsidR="00081DA8" w:rsidRDefault="00081DA8">
            <w:pPr>
              <w:rPr>
                <w:rFonts w:cs="Arial"/>
              </w:rPr>
            </w:pPr>
            <w:r>
              <w:rPr>
                <w:rFonts w:cs="Arial"/>
                <w:sz w:val="22"/>
                <w:szCs w:val="22"/>
              </w:rPr>
              <w:t xml:space="preserve">Fri:                </w:t>
            </w:r>
          </w:p>
          <w:p w:rsidR="00081DA8" w:rsidRDefault="00081DA8">
            <w:pPr>
              <w:rPr>
                <w:rFonts w:cs="Arial"/>
              </w:rPr>
            </w:pPr>
            <w:r>
              <w:rPr>
                <w:rFonts w:cs="Arial"/>
                <w:sz w:val="22"/>
                <w:szCs w:val="22"/>
              </w:rPr>
              <w:t xml:space="preserve">Sat:              </w:t>
            </w:r>
          </w:p>
          <w:p w:rsidR="00081DA8" w:rsidRDefault="00081DA8">
            <w:pPr>
              <w:rPr>
                <w:rFonts w:cs="Arial"/>
              </w:rPr>
            </w:pPr>
            <w:r>
              <w:rPr>
                <w:rFonts w:cs="Arial"/>
                <w:sz w:val="22"/>
                <w:szCs w:val="22"/>
              </w:rPr>
              <w:t xml:space="preserve">Sun:             </w:t>
            </w:r>
          </w:p>
          <w:p w:rsidR="00081DA8" w:rsidRDefault="00081DA8">
            <w:pPr>
              <w:rPr>
                <w:rFonts w:cs="Arial"/>
              </w:rPr>
            </w:pPr>
          </w:p>
          <w:p w:rsidR="00081DA8" w:rsidRDefault="00081DA8">
            <w:pPr>
              <w:rPr>
                <w:rFonts w:cs="Arial"/>
                <w:lang w:val="en-US" w:eastAsia="en-US"/>
              </w:rPr>
            </w:pPr>
            <w:r>
              <w:rPr>
                <w:rFonts w:cs="Arial"/>
                <w:i/>
                <w:iCs/>
                <w:sz w:val="22"/>
                <w:szCs w:val="22"/>
              </w:rPr>
              <w:t>On call requirements:</w:t>
            </w:r>
            <w:r>
              <w:rPr>
                <w:rFonts w:cs="Arial"/>
                <w:sz w:val="22"/>
                <w:szCs w:val="22"/>
              </w:rPr>
              <w:t xml:space="preserve">  </w:t>
            </w:r>
          </w:p>
        </w:tc>
      </w:tr>
      <w:tr w:rsidR="00081DA8" w:rsidTr="00081DA8">
        <w:trPr>
          <w:trHeight w:val="144"/>
        </w:trPr>
        <w:tc>
          <w:tcPr>
            <w:tcW w:w="3851" w:type="dxa"/>
            <w:hideMark/>
          </w:tcPr>
          <w:p w:rsidR="00081DA8" w:rsidRDefault="00081DA8">
            <w:pPr>
              <w:rPr>
                <w:rFonts w:cs="Arial"/>
                <w:b/>
                <w:bCs/>
                <w:lang w:val="en-US" w:eastAsia="en-US"/>
              </w:rPr>
            </w:pPr>
            <w:r>
              <w:rPr>
                <w:rFonts w:cs="Arial"/>
                <w:b/>
                <w:bCs/>
                <w:sz w:val="22"/>
                <w:szCs w:val="22"/>
              </w:rPr>
              <w:lastRenderedPageBreak/>
              <w:t>Employer information</w:t>
            </w:r>
          </w:p>
        </w:tc>
        <w:tc>
          <w:tcPr>
            <w:tcW w:w="4177" w:type="dxa"/>
          </w:tcPr>
          <w:p w:rsidR="00081DA8" w:rsidRDefault="00081DA8">
            <w:pPr>
              <w:pStyle w:val="BodyText"/>
              <w:rPr>
                <w:rFonts w:ascii="Arial" w:hAnsi="Arial" w:cs="Arial"/>
                <w:szCs w:val="22"/>
              </w:rPr>
            </w:pPr>
          </w:p>
          <w:p w:rsidR="00081DA8" w:rsidRDefault="00081DA8">
            <w:pPr>
              <w:pStyle w:val="BodyText"/>
              <w:rPr>
                <w:rFonts w:ascii="Arial" w:hAnsi="Arial" w:cs="Arial"/>
              </w:rPr>
            </w:pPr>
          </w:p>
        </w:tc>
      </w:tr>
    </w:tbl>
    <w:p w:rsidR="00081DA8" w:rsidRDefault="00081DA8" w:rsidP="00081DA8">
      <w:pPr>
        <w:rPr>
          <w:rFonts w:cs="Arial"/>
          <w:sz w:val="22"/>
          <w:szCs w:val="22"/>
          <w:lang w:val="en-US" w:eastAsia="en-US"/>
        </w:rPr>
      </w:pPr>
    </w:p>
    <w:p w:rsidR="00081DA8" w:rsidRDefault="00081DA8" w:rsidP="00081DA8">
      <w:pPr>
        <w:rPr>
          <w:rFonts w:cs="Arial"/>
          <w:sz w:val="22"/>
          <w:szCs w:val="22"/>
        </w:rPr>
      </w:pPr>
      <w:r>
        <w:rPr>
          <w:rFonts w:cs="Arial"/>
          <w:sz w:val="22"/>
          <w:szCs w:val="22"/>
        </w:rPr>
        <w:t>It is important to note that this description is a typical example of your placement and may be subject to change.</w:t>
      </w:r>
    </w:p>
    <w:p w:rsidR="00081DA8" w:rsidRDefault="00081DA8" w:rsidP="00081DA8">
      <w:pPr>
        <w:rPr>
          <w:rFonts w:ascii="Cambria" w:hAnsi="Cambria"/>
        </w:rPr>
      </w:pPr>
    </w:p>
    <w:p w:rsidR="00DF21D4" w:rsidRPr="00081DA8" w:rsidRDefault="00DF21D4" w:rsidP="00081DA8"/>
    <w:sectPr w:rsidR="00DF21D4" w:rsidRPr="00081DA8"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4"/>
  </w:num>
  <w:num w:numId="2">
    <w:abstractNumId w:val="4"/>
  </w:num>
  <w:num w:numId="3">
    <w:abstractNumId w:val="7"/>
  </w:num>
  <w:num w:numId="4">
    <w:abstractNumId w:val="1"/>
  </w:num>
  <w:num w:numId="5">
    <w:abstractNumId w:val="8"/>
  </w:num>
  <w:num w:numId="6">
    <w:abstractNumId w:val="9"/>
  </w:num>
  <w:num w:numId="7">
    <w:abstractNumId w:val="3"/>
  </w:num>
  <w:num w:numId="8">
    <w:abstractNumId w:val="6"/>
  </w:num>
  <w:num w:numId="9">
    <w:abstractNumId w:val="2"/>
  </w:num>
  <w:num w:numId="10">
    <w:abstractNumId w:val="0"/>
  </w:num>
  <w:num w:numId="11">
    <w:abstractNumId w:val="6"/>
  </w:num>
  <w:num w:numId="12">
    <w:abstractNumId w:val="3"/>
  </w:num>
  <w:num w:numId="13">
    <w:abstractNumId w:val="5"/>
    <w:lvlOverride w:ilvl="0"/>
    <w:lvlOverride w:ilvl="1"/>
    <w:lvlOverride w:ilvl="2"/>
    <w:lvlOverride w:ilvl="3"/>
    <w:lvlOverride w:ilvl="4"/>
    <w:lvlOverride w:ilvl="5"/>
    <w:lvlOverride w:ilvl="6"/>
    <w:lvlOverride w:ilvl="7"/>
    <w:lvlOverride w:ilvl="8"/>
  </w:num>
  <w:num w:numId="14">
    <w:abstractNumId w:val="6"/>
    <w:lvlOverride w:ilvl="0"/>
    <w:lvlOverride w:ilvl="1"/>
    <w:lvlOverride w:ilvl="2"/>
    <w:lvlOverride w:ilvl="3"/>
    <w:lvlOverride w:ilvl="4"/>
    <w:lvlOverride w:ilvl="5"/>
    <w:lvlOverride w:ilvl="6"/>
    <w:lvlOverride w:ilvl="7"/>
    <w:lvlOverride w:ilvl="8"/>
  </w:num>
  <w:num w:numId="15">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81DA8"/>
    <w:rsid w:val="000A605D"/>
    <w:rsid w:val="000E4AAE"/>
    <w:rsid w:val="000F4C03"/>
    <w:rsid w:val="001B43CB"/>
    <w:rsid w:val="003520AB"/>
    <w:rsid w:val="00363F01"/>
    <w:rsid w:val="003963AC"/>
    <w:rsid w:val="00472B89"/>
    <w:rsid w:val="005F73FC"/>
    <w:rsid w:val="007950BD"/>
    <w:rsid w:val="007D3008"/>
    <w:rsid w:val="008206BB"/>
    <w:rsid w:val="0085290E"/>
    <w:rsid w:val="008C3E0E"/>
    <w:rsid w:val="008F2E22"/>
    <w:rsid w:val="00925F85"/>
    <w:rsid w:val="00967A91"/>
    <w:rsid w:val="009919DF"/>
    <w:rsid w:val="00A13A79"/>
    <w:rsid w:val="00A65291"/>
    <w:rsid w:val="00AB50E2"/>
    <w:rsid w:val="00BC5EC3"/>
    <w:rsid w:val="00C2247A"/>
    <w:rsid w:val="00D22CF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4244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2016-09-21T09:48:00Z</dcterms:created>
  <dcterms:modified xsi:type="dcterms:W3CDTF">2016-09-21T09:48:00Z</dcterms:modified>
</cp:coreProperties>
</file>