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EA" w:rsidRPr="00C00012" w:rsidRDefault="00B644EA" w:rsidP="00B644EA">
      <w:pPr>
        <w:rPr>
          <w:rFonts w:ascii="Arial" w:hAnsi="Arial" w:cs="Arial"/>
          <w:sz w:val="22"/>
          <w:szCs w:val="22"/>
        </w:rPr>
      </w:pPr>
    </w:p>
    <w:tbl>
      <w:tblPr>
        <w:tblpPr w:leftFromText="180" w:rightFromText="180" w:vertAnchor="text" w:horzAnchor="margin" w:tblpXSpec="right" w:tblpY="180"/>
        <w:tblW w:w="2551" w:type="dxa"/>
        <w:tblLayout w:type="fixed"/>
        <w:tblLook w:val="0000" w:firstRow="0" w:lastRow="0" w:firstColumn="0" w:lastColumn="0" w:noHBand="0" w:noVBand="0"/>
      </w:tblPr>
      <w:tblGrid>
        <w:gridCol w:w="2551"/>
      </w:tblGrid>
      <w:tr w:rsidR="00135B6E" w:rsidRPr="00C00012" w:rsidTr="00135B6E">
        <w:trPr>
          <w:trHeight w:val="567"/>
        </w:trPr>
        <w:tc>
          <w:tcPr>
            <w:tcW w:w="2551" w:type="dxa"/>
            <w:vMerge w:val="restart"/>
          </w:tcPr>
          <w:p w:rsidR="00135B6E" w:rsidRPr="00C00012" w:rsidRDefault="00135B6E" w:rsidP="00135B6E">
            <w:pPr>
              <w:pStyle w:val="Introductionparagraphpink"/>
              <w:jc w:val="center"/>
              <w:rPr>
                <w:rFonts w:cs="Arial"/>
                <w:b/>
                <w:sz w:val="22"/>
                <w:szCs w:val="22"/>
                <w:lang w:val="en-US"/>
              </w:rPr>
            </w:pPr>
            <w:r w:rsidRPr="00C00012">
              <w:rPr>
                <w:rFonts w:cs="Arial"/>
                <w:b/>
                <w:sz w:val="22"/>
                <w:szCs w:val="22"/>
                <w:lang w:val="en-US"/>
              </w:rPr>
              <w:t>Professional Support Unit</w:t>
            </w:r>
          </w:p>
          <w:p w:rsidR="00135B6E" w:rsidRPr="00C00012" w:rsidRDefault="00135B6E" w:rsidP="00135B6E">
            <w:pPr>
              <w:pStyle w:val="Introductionparagraphpink"/>
              <w:rPr>
                <w:rFonts w:cs="Arial"/>
                <w:b/>
                <w:sz w:val="22"/>
                <w:szCs w:val="22"/>
                <w:lang w:val="en-US"/>
              </w:rPr>
            </w:pPr>
            <w:r w:rsidRPr="00C00012">
              <w:rPr>
                <w:rFonts w:cs="Arial"/>
                <w:b/>
                <w:sz w:val="22"/>
                <w:szCs w:val="22"/>
                <w:lang w:val="en-US"/>
              </w:rPr>
              <w:t xml:space="preserve"> </w:t>
            </w:r>
          </w:p>
          <w:p w:rsidR="00135B6E" w:rsidRPr="00C00012" w:rsidRDefault="00135B6E" w:rsidP="00135B6E">
            <w:pPr>
              <w:jc w:val="center"/>
              <w:rPr>
                <w:rFonts w:ascii="Arial" w:hAnsi="Arial" w:cs="Arial"/>
                <w:sz w:val="22"/>
                <w:szCs w:val="22"/>
              </w:rPr>
            </w:pPr>
            <w:r w:rsidRPr="00C00012">
              <w:rPr>
                <w:rFonts w:ascii="Arial" w:hAnsi="Arial" w:cs="Arial"/>
                <w:sz w:val="22"/>
                <w:szCs w:val="22"/>
              </w:rPr>
              <w:t>2-4 Victoria House</w:t>
            </w:r>
          </w:p>
          <w:p w:rsidR="00135B6E" w:rsidRPr="00C00012" w:rsidRDefault="00135B6E" w:rsidP="00135B6E">
            <w:pPr>
              <w:jc w:val="center"/>
              <w:rPr>
                <w:rFonts w:ascii="Arial" w:hAnsi="Arial" w:cs="Arial"/>
                <w:sz w:val="22"/>
                <w:szCs w:val="22"/>
              </w:rPr>
            </w:pPr>
            <w:r w:rsidRPr="00C00012">
              <w:rPr>
                <w:rFonts w:ascii="Arial" w:hAnsi="Arial" w:cs="Arial"/>
                <w:sz w:val="22"/>
                <w:szCs w:val="22"/>
              </w:rPr>
              <w:t>Capital Park</w:t>
            </w:r>
          </w:p>
          <w:p w:rsidR="00135B6E" w:rsidRPr="00C00012" w:rsidRDefault="00135B6E" w:rsidP="00135B6E">
            <w:pPr>
              <w:jc w:val="center"/>
              <w:rPr>
                <w:rFonts w:ascii="Arial" w:hAnsi="Arial" w:cs="Arial"/>
                <w:sz w:val="22"/>
                <w:szCs w:val="22"/>
              </w:rPr>
            </w:pPr>
            <w:r w:rsidRPr="00C00012">
              <w:rPr>
                <w:rFonts w:ascii="Arial" w:hAnsi="Arial" w:cs="Arial"/>
                <w:sz w:val="22"/>
                <w:szCs w:val="22"/>
              </w:rPr>
              <w:t>Fulbourn</w:t>
            </w:r>
          </w:p>
          <w:p w:rsidR="00135B6E" w:rsidRPr="00C00012" w:rsidRDefault="00135B6E" w:rsidP="00135B6E">
            <w:pPr>
              <w:jc w:val="center"/>
              <w:rPr>
                <w:rFonts w:ascii="Arial" w:hAnsi="Arial" w:cs="Arial"/>
                <w:sz w:val="22"/>
                <w:szCs w:val="22"/>
              </w:rPr>
            </w:pPr>
            <w:r w:rsidRPr="00C00012">
              <w:rPr>
                <w:rFonts w:ascii="Arial" w:hAnsi="Arial" w:cs="Arial"/>
                <w:sz w:val="22"/>
                <w:szCs w:val="22"/>
              </w:rPr>
              <w:t>Cambridge</w:t>
            </w:r>
          </w:p>
          <w:p w:rsidR="00135B6E" w:rsidRPr="00C00012" w:rsidRDefault="00135B6E" w:rsidP="00135B6E">
            <w:pPr>
              <w:jc w:val="center"/>
              <w:rPr>
                <w:rFonts w:ascii="Arial" w:hAnsi="Arial" w:cs="Arial"/>
                <w:sz w:val="22"/>
                <w:szCs w:val="22"/>
              </w:rPr>
            </w:pPr>
            <w:r w:rsidRPr="00C00012">
              <w:rPr>
                <w:rFonts w:ascii="Arial" w:hAnsi="Arial" w:cs="Arial"/>
                <w:sz w:val="22"/>
                <w:szCs w:val="22"/>
              </w:rPr>
              <w:t>CB21 5XB</w:t>
            </w:r>
          </w:p>
          <w:p w:rsidR="00D55383" w:rsidRPr="00C00012" w:rsidRDefault="00D55383" w:rsidP="00135B6E">
            <w:pPr>
              <w:jc w:val="center"/>
              <w:rPr>
                <w:rFonts w:ascii="Arial" w:hAnsi="Arial" w:cs="Arial"/>
                <w:sz w:val="22"/>
                <w:szCs w:val="22"/>
              </w:rPr>
            </w:pPr>
          </w:p>
          <w:p w:rsidR="00D55383" w:rsidRPr="00C00012" w:rsidRDefault="00D55383" w:rsidP="00135B6E">
            <w:pPr>
              <w:jc w:val="center"/>
              <w:rPr>
                <w:rFonts w:ascii="Arial" w:hAnsi="Arial" w:cs="Arial"/>
                <w:sz w:val="22"/>
                <w:szCs w:val="22"/>
              </w:rPr>
            </w:pPr>
            <w:r w:rsidRPr="00C00012">
              <w:rPr>
                <w:rFonts w:ascii="Arial" w:hAnsi="Arial" w:cs="Arial"/>
                <w:sz w:val="22"/>
                <w:szCs w:val="22"/>
              </w:rPr>
              <w:t>PSU.eoe@hee.nhs.uk</w:t>
            </w:r>
          </w:p>
          <w:p w:rsidR="00135B6E" w:rsidRPr="00C00012" w:rsidRDefault="00135B6E" w:rsidP="00135B6E">
            <w:pPr>
              <w:rPr>
                <w:rFonts w:ascii="Arial" w:hAnsi="Arial" w:cs="Arial"/>
                <w:sz w:val="22"/>
                <w:szCs w:val="22"/>
              </w:rPr>
            </w:pPr>
            <w:r w:rsidRPr="00C00012">
              <w:rPr>
                <w:rFonts w:ascii="Arial" w:hAnsi="Arial" w:cs="Arial"/>
                <w:noProof/>
                <w:sz w:val="22"/>
                <w:szCs w:val="22"/>
                <w:lang w:eastAsia="en-GB"/>
              </w:rPr>
              <w:drawing>
                <wp:anchor distT="0" distB="0" distL="114300" distR="114300" simplePos="0" relativeHeight="251659264" behindDoc="0" locked="0" layoutInCell="1" allowOverlap="1" wp14:anchorId="75122ED3" wp14:editId="559B414C">
                  <wp:simplePos x="0" y="0"/>
                  <wp:positionH relativeFrom="column">
                    <wp:posOffset>-1270</wp:posOffset>
                  </wp:positionH>
                  <wp:positionV relativeFrom="paragraph">
                    <wp:posOffset>105410</wp:posOffset>
                  </wp:positionV>
                  <wp:extent cx="1520190" cy="320675"/>
                  <wp:effectExtent l="0" t="0" r="3810" b="3175"/>
                  <wp:wrapSquare wrapText="bothSides"/>
                  <wp:docPr id="4" name="Picture 1" descr="letterheads Jpeg template-br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Jpeg template-brack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190"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B6E" w:rsidRPr="00C00012" w:rsidRDefault="00135B6E" w:rsidP="00135B6E">
            <w:pPr>
              <w:rPr>
                <w:rFonts w:ascii="Arial" w:hAnsi="Arial" w:cs="Arial"/>
                <w:b/>
                <w:color w:val="B02B5E"/>
                <w:spacing w:val="0"/>
                <w:sz w:val="22"/>
                <w:szCs w:val="22"/>
                <w:lang w:val="en-US"/>
              </w:rPr>
            </w:pPr>
          </w:p>
        </w:tc>
      </w:tr>
      <w:tr w:rsidR="00135B6E" w:rsidRPr="00C00012" w:rsidTr="00135B6E">
        <w:trPr>
          <w:trHeight w:val="2160"/>
        </w:trPr>
        <w:tc>
          <w:tcPr>
            <w:tcW w:w="2551" w:type="dxa"/>
            <w:vMerge/>
          </w:tcPr>
          <w:p w:rsidR="00135B6E" w:rsidRPr="00C00012" w:rsidRDefault="00135B6E" w:rsidP="00135B6E">
            <w:pPr>
              <w:rPr>
                <w:rFonts w:ascii="Arial" w:hAnsi="Arial" w:cs="Arial"/>
                <w:sz w:val="22"/>
                <w:szCs w:val="22"/>
              </w:rPr>
            </w:pPr>
          </w:p>
        </w:tc>
      </w:tr>
    </w:tbl>
    <w:p w:rsidR="00B644EA" w:rsidRPr="00C00012" w:rsidRDefault="00B644EA" w:rsidP="00B644EA">
      <w:pPr>
        <w:rPr>
          <w:rFonts w:ascii="Arial" w:hAnsi="Arial" w:cs="Arial"/>
          <w:sz w:val="22"/>
          <w:szCs w:val="22"/>
        </w:rPr>
      </w:pPr>
    </w:p>
    <w:p w:rsidR="00B644EA" w:rsidRPr="00C00012" w:rsidRDefault="00B644EA" w:rsidP="00B644EA">
      <w:pPr>
        <w:rPr>
          <w:rFonts w:ascii="Arial" w:hAnsi="Arial" w:cs="Arial"/>
          <w:sz w:val="22"/>
          <w:szCs w:val="22"/>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b/>
          <w:sz w:val="22"/>
          <w:szCs w:val="22"/>
          <w:lang w:eastAsia="en-GB"/>
        </w:rPr>
      </w:pPr>
    </w:p>
    <w:p w:rsidR="00135B6E" w:rsidRPr="00C00012" w:rsidRDefault="00135B6E" w:rsidP="00135B6E">
      <w:pPr>
        <w:jc w:val="center"/>
        <w:rPr>
          <w:rFonts w:ascii="Arial" w:hAnsi="Arial" w:cs="Arial"/>
          <w:b/>
          <w:sz w:val="22"/>
          <w:szCs w:val="22"/>
          <w:lang w:eastAsia="en-GB"/>
        </w:rPr>
      </w:pPr>
      <w:r w:rsidRPr="00C00012">
        <w:rPr>
          <w:rFonts w:ascii="Arial" w:hAnsi="Arial" w:cs="Arial"/>
          <w:b/>
          <w:sz w:val="22"/>
          <w:szCs w:val="22"/>
          <w:lang w:eastAsia="en-GB"/>
        </w:rPr>
        <w:t>P</w:t>
      </w:r>
      <w:r w:rsidR="009B0011" w:rsidRPr="00C00012">
        <w:rPr>
          <w:rFonts w:ascii="Arial" w:hAnsi="Arial" w:cs="Arial"/>
          <w:b/>
          <w:sz w:val="22"/>
          <w:szCs w:val="22"/>
          <w:lang w:eastAsia="en-GB"/>
        </w:rPr>
        <w:t>rofessional</w:t>
      </w:r>
      <w:r w:rsidRPr="00C00012">
        <w:rPr>
          <w:rFonts w:ascii="Arial" w:hAnsi="Arial" w:cs="Arial"/>
          <w:b/>
          <w:sz w:val="22"/>
          <w:szCs w:val="22"/>
          <w:lang w:eastAsia="en-GB"/>
        </w:rPr>
        <w:t xml:space="preserve"> Support for Doctors in Training</w:t>
      </w:r>
    </w:p>
    <w:p w:rsidR="00135B6E" w:rsidRPr="00C00012" w:rsidRDefault="00135B6E" w:rsidP="00135B6E">
      <w:pPr>
        <w:jc w:val="center"/>
        <w:rPr>
          <w:rFonts w:ascii="Arial" w:hAnsi="Arial" w:cs="Arial"/>
          <w:color w:val="548DD4"/>
          <w:sz w:val="22"/>
          <w:szCs w:val="22"/>
          <w:lang w:eastAsia="en-GB"/>
        </w:rPr>
      </w:pPr>
    </w:p>
    <w:p w:rsidR="00135B6E" w:rsidRPr="00C00012" w:rsidRDefault="00135B6E" w:rsidP="00135B6E">
      <w:pPr>
        <w:ind w:left="720" w:hanging="720"/>
        <w:jc w:val="center"/>
        <w:rPr>
          <w:rFonts w:ascii="Arial" w:hAnsi="Arial" w:cs="Arial"/>
          <w:color w:val="548DD4"/>
          <w:sz w:val="22"/>
          <w:szCs w:val="22"/>
          <w:lang w:eastAsia="en-GB"/>
        </w:rPr>
      </w:pPr>
    </w:p>
    <w:p w:rsidR="00135B6E" w:rsidRPr="00C00012" w:rsidRDefault="00135B6E" w:rsidP="00135B6E">
      <w:pPr>
        <w:ind w:left="720" w:hanging="720"/>
        <w:jc w:val="center"/>
        <w:rPr>
          <w:rFonts w:ascii="Arial" w:hAnsi="Arial" w:cs="Arial"/>
          <w:i/>
          <w:color w:val="548DD4"/>
          <w:sz w:val="22"/>
          <w:szCs w:val="22"/>
          <w:lang w:eastAsia="en-GB"/>
        </w:rPr>
      </w:pPr>
      <w:r w:rsidRPr="00C00012">
        <w:rPr>
          <w:rFonts w:ascii="Arial" w:hAnsi="Arial" w:cs="Arial"/>
          <w:i/>
          <w:color w:val="548DD4"/>
          <w:sz w:val="22"/>
          <w:szCs w:val="22"/>
          <w:lang w:eastAsia="en-GB"/>
        </w:rPr>
        <w:t>Guidance and support for trainees and trainers</w:t>
      </w:r>
    </w:p>
    <w:p w:rsidR="00135B6E" w:rsidRPr="00C00012" w:rsidRDefault="00135B6E" w:rsidP="00135B6E">
      <w:pPr>
        <w:jc w:val="center"/>
        <w:rPr>
          <w:rFonts w:ascii="Arial" w:hAnsi="Arial" w:cs="Arial"/>
          <w:b/>
          <w:sz w:val="22"/>
          <w:szCs w:val="22"/>
          <w:lang w:eastAsia="en-GB"/>
        </w:rPr>
      </w:pPr>
    </w:p>
    <w:p w:rsidR="00135B6E" w:rsidRPr="00C00012" w:rsidRDefault="00135B6E" w:rsidP="00135B6E">
      <w:pPr>
        <w:rPr>
          <w:rFonts w:ascii="Arial" w:hAnsi="Arial" w:cs="Arial"/>
          <w:b/>
          <w:color w:val="0000FF"/>
          <w:sz w:val="22"/>
          <w:szCs w:val="22"/>
          <w:lang w:eastAsia="en-GB"/>
        </w:rPr>
      </w:pPr>
    </w:p>
    <w:p w:rsidR="00135B6E" w:rsidRPr="00C00012" w:rsidRDefault="00135B6E" w:rsidP="00135B6E">
      <w:pPr>
        <w:rPr>
          <w:rFonts w:ascii="Arial" w:hAnsi="Arial" w:cs="Arial"/>
          <w:b/>
          <w:color w:val="0000FF"/>
          <w:sz w:val="22"/>
          <w:szCs w:val="22"/>
          <w:lang w:eastAsia="en-GB"/>
        </w:rPr>
      </w:pPr>
    </w:p>
    <w:p w:rsidR="00135B6E" w:rsidRPr="00C00012" w:rsidRDefault="00135B6E" w:rsidP="00135B6E">
      <w:pPr>
        <w:rPr>
          <w:rFonts w:ascii="Arial" w:hAnsi="Arial" w:cs="Arial"/>
          <w:b/>
          <w:color w:val="0000FF"/>
          <w:sz w:val="22"/>
          <w:szCs w:val="22"/>
          <w:lang w:eastAsia="en-GB"/>
        </w:rPr>
      </w:pPr>
    </w:p>
    <w:p w:rsidR="00135B6E" w:rsidRPr="00C00012" w:rsidRDefault="00135B6E" w:rsidP="00135B6E">
      <w:pPr>
        <w:rPr>
          <w:rFonts w:ascii="Arial" w:hAnsi="Arial" w:cs="Arial"/>
          <w:b/>
          <w:color w:val="0000FF"/>
          <w:sz w:val="22"/>
          <w:szCs w:val="22"/>
          <w:lang w:eastAsia="en-GB"/>
        </w:rPr>
      </w:pPr>
    </w:p>
    <w:p w:rsidR="00135B6E" w:rsidRPr="00C00012" w:rsidRDefault="00135B6E" w:rsidP="00135B6E">
      <w:pPr>
        <w:rPr>
          <w:rFonts w:ascii="Arial" w:hAnsi="Arial" w:cs="Arial"/>
          <w:b/>
          <w:color w:val="0000FF"/>
          <w:sz w:val="22"/>
          <w:szCs w:val="22"/>
          <w:lang w:eastAsia="en-GB"/>
        </w:rPr>
      </w:pPr>
    </w:p>
    <w:p w:rsidR="00135B6E" w:rsidRPr="00C00012" w:rsidRDefault="00135B6E" w:rsidP="00135B6E">
      <w:pPr>
        <w:rPr>
          <w:rFonts w:ascii="Arial" w:hAnsi="Arial" w:cs="Arial"/>
          <w:b/>
          <w:color w:val="0000FF"/>
          <w:sz w:val="22"/>
          <w:szCs w:val="22"/>
          <w:lang w:eastAsia="en-GB"/>
        </w:rPr>
      </w:pPr>
    </w:p>
    <w:p w:rsidR="00135B6E" w:rsidRPr="00C00012" w:rsidRDefault="00135B6E" w:rsidP="00135B6E">
      <w:pPr>
        <w:tabs>
          <w:tab w:val="left" w:pos="1830"/>
        </w:tabs>
        <w:rPr>
          <w:rFonts w:ascii="Arial" w:hAnsi="Arial" w:cs="Arial"/>
          <w:b/>
          <w:color w:val="000000"/>
          <w:sz w:val="22"/>
          <w:szCs w:val="22"/>
          <w:lang w:eastAsia="en-GB"/>
        </w:rPr>
      </w:pPr>
      <w:r w:rsidRPr="00C00012">
        <w:rPr>
          <w:rFonts w:ascii="Arial" w:hAnsi="Arial" w:cs="Arial"/>
          <w:b/>
          <w:color w:val="000000"/>
          <w:sz w:val="22"/>
          <w:szCs w:val="22"/>
          <w:lang w:eastAsia="en-GB"/>
        </w:rPr>
        <w:tab/>
      </w:r>
    </w:p>
    <w:p w:rsidR="00135B6E" w:rsidRPr="00C00012" w:rsidRDefault="00135B6E" w:rsidP="00135B6E">
      <w:pPr>
        <w:autoSpaceDE w:val="0"/>
        <w:autoSpaceDN w:val="0"/>
        <w:rPr>
          <w:rFonts w:ascii="Arial" w:hAnsi="Arial" w:cs="Arial"/>
          <w:b/>
          <w:sz w:val="22"/>
          <w:szCs w:val="22"/>
          <w:lang w:eastAsia="en-GB"/>
        </w:rPr>
      </w:pPr>
      <w:r w:rsidRPr="00C00012">
        <w:rPr>
          <w:rFonts w:ascii="Arial" w:hAnsi="Arial" w:cs="Arial"/>
          <w:b/>
          <w:color w:val="0000FF"/>
          <w:sz w:val="22"/>
          <w:szCs w:val="22"/>
          <w:lang w:eastAsia="en-GB"/>
        </w:rPr>
        <w:br w:type="page"/>
      </w:r>
      <w:bookmarkStart w:id="0" w:name="OLE_LINK1"/>
      <w:bookmarkStart w:id="1" w:name="OLE_LINK2"/>
      <w:r w:rsidRPr="00C00012">
        <w:rPr>
          <w:rFonts w:ascii="Arial" w:hAnsi="Arial" w:cs="Arial"/>
          <w:b/>
          <w:sz w:val="22"/>
          <w:szCs w:val="22"/>
          <w:lang w:eastAsia="en-GB"/>
        </w:rPr>
        <w:lastRenderedPageBreak/>
        <w:t>Professional Support for Doctors in Training</w:t>
      </w:r>
    </w:p>
    <w:p w:rsidR="00135B6E" w:rsidRPr="00C00012" w:rsidRDefault="00135B6E" w:rsidP="00135B6E">
      <w:pPr>
        <w:autoSpaceDE w:val="0"/>
        <w:autoSpaceDN w:val="0"/>
        <w:rPr>
          <w:rFonts w:ascii="Arial" w:hAnsi="Arial" w:cs="Arial"/>
          <w:b/>
          <w:sz w:val="22"/>
          <w:szCs w:val="22"/>
          <w:u w:val="single"/>
          <w:lang w:eastAsia="en-GB"/>
        </w:rPr>
      </w:pPr>
    </w:p>
    <w:bookmarkEnd w:id="0"/>
    <w:bookmarkEnd w:id="1"/>
    <w:p w:rsidR="00135B6E" w:rsidRPr="00C00012" w:rsidRDefault="00135B6E" w:rsidP="00135B6E">
      <w:pPr>
        <w:numPr>
          <w:ilvl w:val="0"/>
          <w:numId w:val="14"/>
        </w:numPr>
        <w:ind w:left="426" w:hanging="426"/>
        <w:rPr>
          <w:rFonts w:ascii="Arial" w:hAnsi="Arial" w:cs="Arial"/>
          <w:b/>
          <w:color w:val="000000"/>
          <w:sz w:val="22"/>
          <w:szCs w:val="22"/>
          <w:lang w:eastAsia="en-GB"/>
        </w:rPr>
      </w:pPr>
      <w:r w:rsidRPr="00C00012">
        <w:rPr>
          <w:rFonts w:ascii="Arial" w:hAnsi="Arial" w:cs="Arial"/>
          <w:b/>
          <w:color w:val="000000"/>
          <w:sz w:val="22"/>
          <w:szCs w:val="22"/>
          <w:lang w:eastAsia="en-GB"/>
        </w:rPr>
        <w:t xml:space="preserve">Introduction </w:t>
      </w:r>
    </w:p>
    <w:p w:rsidR="00135B6E" w:rsidRPr="00C00012" w:rsidRDefault="00135B6E" w:rsidP="00135B6E">
      <w:pPr>
        <w:rPr>
          <w:rFonts w:ascii="Arial" w:hAnsi="Arial" w:cs="Arial"/>
          <w:sz w:val="22"/>
          <w:szCs w:val="22"/>
          <w:lang w:eastAsia="en-GB"/>
        </w:rPr>
      </w:pPr>
    </w:p>
    <w:p w:rsidR="00135B6E" w:rsidRPr="00C00012" w:rsidRDefault="00135B6E" w:rsidP="00135B6E">
      <w:pPr>
        <w:autoSpaceDE w:val="0"/>
        <w:autoSpaceDN w:val="0"/>
        <w:adjustRightInd w:val="0"/>
        <w:rPr>
          <w:rFonts w:ascii="Arial" w:hAnsi="Arial" w:cs="Arial"/>
          <w:sz w:val="22"/>
          <w:szCs w:val="22"/>
          <w:lang w:eastAsia="en-GB"/>
        </w:rPr>
      </w:pPr>
      <w:r w:rsidRPr="00C00012">
        <w:rPr>
          <w:rFonts w:ascii="Arial" w:hAnsi="Arial" w:cs="Arial"/>
          <w:sz w:val="22"/>
          <w:szCs w:val="22"/>
          <w:lang w:eastAsia="en-GB"/>
        </w:rPr>
        <w:t>Almost all medical and dental trainees will complete their training years meeting educational standards and performing their role without any concerns being expressed about their training.  However there may be situations where a trainee’s progress gives cause for concern, and this guidance is intended to provide a practical overview of professional support for such trainees.</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autoSpaceDE w:val="0"/>
        <w:autoSpaceDN w:val="0"/>
        <w:adjustRightInd w:val="0"/>
        <w:rPr>
          <w:rFonts w:ascii="Arial" w:hAnsi="Arial" w:cs="Arial"/>
          <w:color w:val="FF0000"/>
          <w:sz w:val="22"/>
          <w:szCs w:val="22"/>
          <w:lang w:eastAsia="en-GB"/>
        </w:rPr>
      </w:pPr>
      <w:r w:rsidRPr="00C00012">
        <w:rPr>
          <w:rFonts w:ascii="Arial" w:hAnsi="Arial" w:cs="Arial"/>
          <w:sz w:val="22"/>
          <w:szCs w:val="22"/>
          <w:lang w:eastAsia="en-GB"/>
        </w:rPr>
        <w:t xml:space="preserve">This guidance is applicable to all Foundation and Specialty trainees appointed to programmes within Health Education England, East of England (HEE, </w:t>
      </w:r>
      <w:proofErr w:type="gramStart"/>
      <w:r w:rsidRPr="00C00012">
        <w:rPr>
          <w:rFonts w:ascii="Arial" w:hAnsi="Arial" w:cs="Arial"/>
          <w:sz w:val="22"/>
          <w:szCs w:val="22"/>
          <w:lang w:eastAsia="en-GB"/>
        </w:rPr>
        <w:t>EoE</w:t>
      </w:r>
      <w:proofErr w:type="gramEnd"/>
      <w:r w:rsidRPr="00C00012">
        <w:rPr>
          <w:rFonts w:ascii="Arial" w:hAnsi="Arial" w:cs="Arial"/>
          <w:sz w:val="22"/>
          <w:szCs w:val="22"/>
          <w:lang w:eastAsia="en-GB"/>
        </w:rPr>
        <w:t xml:space="preserve">).  For Foundation Trainees please also consult </w:t>
      </w:r>
      <w:hyperlink r:id="rId9" w:tgtFrame="_blank" w:history="1">
        <w:r w:rsidRPr="00C00012">
          <w:rPr>
            <w:rFonts w:ascii="Arial" w:hAnsi="Arial" w:cs="Arial"/>
            <w:color w:val="0000FF"/>
            <w:sz w:val="22"/>
            <w:szCs w:val="22"/>
            <w:u w:val="single"/>
            <w:lang w:eastAsia="en-GB"/>
          </w:rPr>
          <w:t>Managing Foundation Trainees with Differing Needs</w:t>
        </w:r>
      </w:hyperlink>
      <w:r w:rsidRPr="00C00012">
        <w:rPr>
          <w:rFonts w:ascii="Arial" w:hAnsi="Arial" w:cs="Arial"/>
          <w:sz w:val="22"/>
          <w:szCs w:val="22"/>
          <w:lang w:eastAsia="en-GB"/>
        </w:rPr>
        <w:t xml:space="preserve">. </w:t>
      </w:r>
    </w:p>
    <w:p w:rsidR="00135B6E" w:rsidRPr="00C00012" w:rsidRDefault="00135B6E" w:rsidP="00135B6E">
      <w:pPr>
        <w:autoSpaceDE w:val="0"/>
        <w:autoSpaceDN w:val="0"/>
        <w:adjustRightInd w:val="0"/>
        <w:rPr>
          <w:rFonts w:ascii="Arial" w:hAnsi="Arial" w:cs="Arial"/>
          <w:sz w:val="22"/>
          <w:szCs w:val="22"/>
          <w:lang w:eastAsia="en-GB"/>
        </w:rPr>
      </w:pPr>
    </w:p>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This guidance:-</w:t>
      </w:r>
    </w:p>
    <w:p w:rsidR="00135B6E" w:rsidRPr="00C00012" w:rsidRDefault="00135B6E" w:rsidP="00135B6E">
      <w:pPr>
        <w:jc w:val="both"/>
        <w:rPr>
          <w:rFonts w:ascii="Arial" w:hAnsi="Arial" w:cs="Arial"/>
          <w:sz w:val="22"/>
          <w:szCs w:val="22"/>
          <w:lang w:eastAsia="en-GB"/>
        </w:rPr>
      </w:pPr>
    </w:p>
    <w:p w:rsidR="00135B6E" w:rsidRPr="00C00012" w:rsidRDefault="00135B6E" w:rsidP="00135B6E">
      <w:pPr>
        <w:numPr>
          <w:ilvl w:val="0"/>
          <w:numId w:val="11"/>
        </w:numPr>
        <w:jc w:val="both"/>
        <w:rPr>
          <w:rFonts w:ascii="Arial" w:hAnsi="Arial" w:cs="Arial"/>
          <w:sz w:val="22"/>
          <w:szCs w:val="22"/>
          <w:lang w:eastAsia="en-GB"/>
        </w:rPr>
      </w:pPr>
      <w:r w:rsidRPr="00C00012">
        <w:rPr>
          <w:rFonts w:ascii="Arial" w:hAnsi="Arial" w:cs="Arial"/>
          <w:sz w:val="22"/>
          <w:szCs w:val="22"/>
          <w:lang w:eastAsia="en-GB"/>
        </w:rPr>
        <w:t>seeks to ensure that there are effective and fair procedures for identifying, managing and supporting trainees giving cause for concern</w:t>
      </w:r>
    </w:p>
    <w:p w:rsidR="00135B6E" w:rsidRPr="00C00012" w:rsidRDefault="00135B6E" w:rsidP="00135B6E">
      <w:pPr>
        <w:numPr>
          <w:ilvl w:val="0"/>
          <w:numId w:val="11"/>
        </w:numPr>
        <w:jc w:val="both"/>
        <w:rPr>
          <w:rFonts w:ascii="Arial" w:hAnsi="Arial" w:cs="Arial"/>
          <w:sz w:val="22"/>
          <w:szCs w:val="22"/>
          <w:lang w:eastAsia="en-GB"/>
        </w:rPr>
      </w:pPr>
      <w:r w:rsidRPr="00C00012">
        <w:rPr>
          <w:rFonts w:ascii="Arial" w:hAnsi="Arial" w:cs="Arial"/>
          <w:sz w:val="22"/>
          <w:szCs w:val="22"/>
          <w:lang w:eastAsia="en-GB"/>
        </w:rPr>
        <w:t>highlights the importance of clear, contemporaneous documentation</w:t>
      </w:r>
    </w:p>
    <w:p w:rsidR="00135B6E" w:rsidRPr="00C00012" w:rsidRDefault="00135B6E" w:rsidP="00135B6E">
      <w:pPr>
        <w:numPr>
          <w:ilvl w:val="0"/>
          <w:numId w:val="11"/>
        </w:numPr>
        <w:jc w:val="both"/>
        <w:rPr>
          <w:rFonts w:ascii="Arial" w:hAnsi="Arial" w:cs="Arial"/>
          <w:sz w:val="22"/>
          <w:szCs w:val="22"/>
          <w:lang w:eastAsia="en-GB"/>
        </w:rPr>
      </w:pPr>
      <w:r w:rsidRPr="00C00012">
        <w:rPr>
          <w:rFonts w:ascii="Arial" w:hAnsi="Arial" w:cs="Arial"/>
          <w:sz w:val="22"/>
          <w:szCs w:val="22"/>
          <w:lang w:eastAsia="en-GB"/>
        </w:rPr>
        <w:t xml:space="preserve">provides details on where additional support and help can be sought throughout the process </w:t>
      </w:r>
    </w:p>
    <w:p w:rsidR="00135B6E" w:rsidRPr="00C00012" w:rsidRDefault="00135B6E" w:rsidP="00135B6E">
      <w:pPr>
        <w:numPr>
          <w:ilvl w:val="0"/>
          <w:numId w:val="11"/>
        </w:numPr>
        <w:autoSpaceDE w:val="0"/>
        <w:autoSpaceDN w:val="0"/>
        <w:adjustRightInd w:val="0"/>
        <w:rPr>
          <w:rFonts w:ascii="Arial" w:hAnsi="Arial" w:cs="Arial"/>
          <w:sz w:val="22"/>
          <w:szCs w:val="22"/>
          <w:lang w:eastAsia="en-GB"/>
        </w:rPr>
      </w:pPr>
      <w:r w:rsidRPr="00C00012">
        <w:rPr>
          <w:rFonts w:ascii="Arial" w:hAnsi="Arial" w:cs="Arial"/>
          <w:sz w:val="22"/>
          <w:szCs w:val="22"/>
          <w:lang w:eastAsia="en-GB"/>
        </w:rPr>
        <w:t xml:space="preserve">clarifies roles and responsibilities </w:t>
      </w:r>
    </w:p>
    <w:p w:rsidR="00135B6E" w:rsidRPr="00C00012" w:rsidRDefault="00135B6E" w:rsidP="00135B6E">
      <w:pPr>
        <w:numPr>
          <w:ilvl w:val="0"/>
          <w:numId w:val="11"/>
        </w:numPr>
        <w:autoSpaceDE w:val="0"/>
        <w:autoSpaceDN w:val="0"/>
        <w:adjustRightInd w:val="0"/>
        <w:rPr>
          <w:rFonts w:ascii="Arial" w:hAnsi="Arial" w:cs="Arial"/>
          <w:sz w:val="22"/>
          <w:szCs w:val="22"/>
          <w:lang w:eastAsia="en-GB"/>
        </w:rPr>
      </w:pPr>
      <w:proofErr w:type="gramStart"/>
      <w:r w:rsidRPr="00C00012">
        <w:rPr>
          <w:rFonts w:ascii="Arial" w:hAnsi="Arial" w:cs="Arial"/>
          <w:sz w:val="22"/>
          <w:szCs w:val="22"/>
          <w:lang w:eastAsia="en-GB"/>
        </w:rPr>
        <w:t>places</w:t>
      </w:r>
      <w:proofErr w:type="gramEnd"/>
      <w:r w:rsidRPr="00C00012">
        <w:rPr>
          <w:rFonts w:ascii="Arial" w:hAnsi="Arial" w:cs="Arial"/>
          <w:sz w:val="22"/>
          <w:szCs w:val="22"/>
          <w:lang w:eastAsia="en-GB"/>
        </w:rPr>
        <w:t xml:space="preserve"> patient safety first but also recognises the principles of acting confidentially, fairly and in a supportive manner for both trainees and trainers. </w:t>
      </w:r>
    </w:p>
    <w:p w:rsidR="00135B6E" w:rsidRPr="00C00012" w:rsidRDefault="00135B6E" w:rsidP="00135B6E">
      <w:pPr>
        <w:autoSpaceDE w:val="0"/>
        <w:autoSpaceDN w:val="0"/>
        <w:adjustRightInd w:val="0"/>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Those involved in supporting trainees should read:</w:t>
      </w:r>
    </w:p>
    <w:p w:rsidR="00135B6E" w:rsidRPr="00C00012" w:rsidRDefault="00135B6E" w:rsidP="00135B6E">
      <w:pPr>
        <w:rPr>
          <w:rFonts w:ascii="Arial" w:hAnsi="Arial" w:cs="Arial"/>
          <w:sz w:val="22"/>
          <w:szCs w:val="22"/>
          <w:lang w:eastAsia="en-GB"/>
        </w:rPr>
      </w:pPr>
    </w:p>
    <w:p w:rsidR="00135B6E" w:rsidRPr="00C00012" w:rsidRDefault="00135B6E" w:rsidP="00135B6E">
      <w:pPr>
        <w:pStyle w:val="ListParagraph"/>
        <w:numPr>
          <w:ilvl w:val="0"/>
          <w:numId w:val="17"/>
        </w:numPr>
        <w:ind w:left="709" w:hanging="283"/>
        <w:rPr>
          <w:rFonts w:ascii="Arial" w:hAnsi="Arial" w:cs="Arial"/>
          <w:sz w:val="22"/>
          <w:szCs w:val="22"/>
          <w:lang w:eastAsia="en-GB"/>
        </w:rPr>
      </w:pPr>
      <w:r w:rsidRPr="00C00012">
        <w:rPr>
          <w:rFonts w:ascii="Arial" w:hAnsi="Arial" w:cs="Arial"/>
          <w:sz w:val="22"/>
          <w:szCs w:val="22"/>
          <w:lang w:eastAsia="en-GB"/>
        </w:rPr>
        <w:t xml:space="preserve">Section 7 of the </w:t>
      </w:r>
      <w:r w:rsidRPr="00C00012">
        <w:rPr>
          <w:rFonts w:ascii="Arial" w:hAnsi="Arial" w:cs="Arial"/>
          <w:sz w:val="22"/>
          <w:szCs w:val="22"/>
        </w:rPr>
        <w:t xml:space="preserve">Gold Guide </w:t>
      </w:r>
      <w:r w:rsidRPr="00C00012">
        <w:rPr>
          <w:rFonts w:ascii="Arial" w:hAnsi="Arial" w:cs="Arial"/>
          <w:sz w:val="22"/>
          <w:szCs w:val="22"/>
          <w:lang w:eastAsia="en-GB"/>
        </w:rPr>
        <w:t xml:space="preserve">particularly paragraphs 7.22, 7.23, 7.35, 7.44 and 7.45. </w:t>
      </w:r>
    </w:p>
    <w:p w:rsidR="00135B6E" w:rsidRPr="00C00012" w:rsidRDefault="00135B6E" w:rsidP="00135B6E">
      <w:pPr>
        <w:ind w:left="360"/>
        <w:rPr>
          <w:rFonts w:ascii="Arial" w:hAnsi="Arial" w:cs="Arial"/>
          <w:sz w:val="22"/>
          <w:szCs w:val="22"/>
          <w:lang w:eastAsia="en-GB"/>
        </w:rPr>
      </w:pPr>
      <w:r w:rsidRPr="00C00012">
        <w:rPr>
          <w:rFonts w:ascii="Arial" w:hAnsi="Arial" w:cs="Arial"/>
          <w:sz w:val="22"/>
          <w:szCs w:val="22"/>
        </w:rPr>
        <w:tab/>
      </w:r>
      <w:hyperlink r:id="rId10" w:history="1">
        <w:r w:rsidRPr="00C00012">
          <w:rPr>
            <w:rStyle w:val="Hyperlink"/>
            <w:rFonts w:ascii="Arial" w:hAnsi="Arial" w:cs="Arial"/>
            <w:sz w:val="22"/>
            <w:szCs w:val="22"/>
          </w:rPr>
          <w:t>http://www.gmc-uk.org/education/undergraduate/15_6_provisions_of_the_gold_guide.asp</w:t>
        </w:r>
      </w:hyperlink>
    </w:p>
    <w:p w:rsidR="00135B6E" w:rsidRPr="00C00012" w:rsidRDefault="00135B6E" w:rsidP="00135B6E">
      <w:pPr>
        <w:numPr>
          <w:ilvl w:val="0"/>
          <w:numId w:val="9"/>
        </w:numPr>
        <w:rPr>
          <w:rFonts w:ascii="Arial" w:hAnsi="Arial" w:cs="Arial"/>
          <w:sz w:val="22"/>
          <w:szCs w:val="22"/>
          <w:lang w:eastAsia="en-GB"/>
        </w:rPr>
      </w:pPr>
      <w:r w:rsidRPr="00C00012">
        <w:rPr>
          <w:rFonts w:ascii="Arial" w:hAnsi="Arial" w:cs="Arial"/>
          <w:sz w:val="22"/>
          <w:szCs w:val="22"/>
          <w:lang w:eastAsia="en-GB"/>
        </w:rPr>
        <w:t xml:space="preserve">The </w:t>
      </w:r>
      <w:hyperlink r:id="rId11" w:history="1">
        <w:r w:rsidRPr="00C00012">
          <w:rPr>
            <w:rFonts w:ascii="Arial" w:hAnsi="Arial" w:cs="Arial"/>
            <w:color w:val="0000FF"/>
            <w:sz w:val="22"/>
            <w:szCs w:val="22"/>
            <w:u w:val="single"/>
            <w:lang w:eastAsia="en-GB"/>
          </w:rPr>
          <w:t>NACT</w:t>
        </w:r>
      </w:hyperlink>
      <w:r w:rsidRPr="00C00012">
        <w:rPr>
          <w:rFonts w:ascii="Arial" w:hAnsi="Arial" w:cs="Arial"/>
          <w:sz w:val="22"/>
          <w:szCs w:val="22"/>
          <w:lang w:eastAsia="en-GB"/>
        </w:rPr>
        <w:t xml:space="preserve"> Document: Managing Trainees in Difficulty</w:t>
      </w:r>
    </w:p>
    <w:p w:rsidR="00135B6E" w:rsidRPr="00C00012" w:rsidRDefault="00135B6E" w:rsidP="00135B6E">
      <w:pPr>
        <w:autoSpaceDE w:val="0"/>
        <w:autoSpaceDN w:val="0"/>
        <w:adjustRightInd w:val="0"/>
        <w:rPr>
          <w:rFonts w:ascii="Arial" w:hAnsi="Arial" w:cs="Arial"/>
          <w:sz w:val="22"/>
          <w:szCs w:val="22"/>
          <w:lang w:eastAsia="en-GB"/>
        </w:rPr>
      </w:pPr>
    </w:p>
    <w:p w:rsidR="00135B6E" w:rsidRPr="00C00012" w:rsidRDefault="00135B6E" w:rsidP="00135B6E">
      <w:pPr>
        <w:autoSpaceDE w:val="0"/>
        <w:autoSpaceDN w:val="0"/>
        <w:adjustRightInd w:val="0"/>
        <w:rPr>
          <w:rFonts w:ascii="Arial" w:hAnsi="Arial" w:cs="Arial"/>
          <w:sz w:val="22"/>
          <w:szCs w:val="22"/>
          <w:lang w:eastAsia="en-GB"/>
        </w:rPr>
      </w:pPr>
      <w:r w:rsidRPr="00C00012">
        <w:rPr>
          <w:rFonts w:ascii="Arial" w:hAnsi="Arial" w:cs="Arial"/>
          <w:sz w:val="22"/>
          <w:szCs w:val="22"/>
          <w:lang w:eastAsia="en-GB"/>
        </w:rPr>
        <w:t>Please find the roles and responsibilities of the organisations and individuals concerned in Appendix 1.</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numPr>
          <w:ilvl w:val="0"/>
          <w:numId w:val="14"/>
        </w:numPr>
        <w:ind w:left="426" w:hanging="426"/>
        <w:rPr>
          <w:rFonts w:ascii="Arial" w:hAnsi="Arial" w:cs="Arial"/>
          <w:b/>
          <w:color w:val="000000"/>
          <w:sz w:val="22"/>
          <w:szCs w:val="22"/>
          <w:lang w:eastAsia="en-GB"/>
        </w:rPr>
      </w:pPr>
      <w:r w:rsidRPr="00C00012">
        <w:rPr>
          <w:rFonts w:ascii="Arial" w:hAnsi="Arial" w:cs="Arial"/>
          <w:b/>
          <w:color w:val="000000"/>
          <w:sz w:val="22"/>
          <w:szCs w:val="22"/>
          <w:lang w:eastAsia="en-GB"/>
        </w:rPr>
        <w:t>Process for Management of a Trainee giving Cause for Concern</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Since the introduction of Personal Development Plans, appraisal, annual assessment, learning agreements and clinical governance there has been an increase in the number of doctors struggling to achieve their goals within the expected timescale. There are also a small number of doctors who have serious and longer term professional concerns.</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r w:rsidRPr="00C00012">
        <w:rPr>
          <w:rFonts w:ascii="Arial" w:hAnsi="Arial" w:cs="Arial"/>
          <w:b/>
          <w:color w:val="000000"/>
          <w:sz w:val="22"/>
          <w:szCs w:val="22"/>
          <w:lang w:eastAsia="en-GB"/>
        </w:rPr>
        <w:t xml:space="preserve">Identification of concern </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 xml:space="preserve">It is the responsibility of the Clinical Supervisor (CS) and other colleagues with whom the trainee is working to identify early warning signs of a trainee with professional concerns and report these to the Educational Supervisor (ES) / Training Programme Director (TPD) immediately to reduce risk to patient safety.  </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b/>
          <w:sz w:val="22"/>
          <w:szCs w:val="22"/>
          <w:lang w:eastAsia="en-GB"/>
        </w:rPr>
      </w:pPr>
      <w:r w:rsidRPr="00C00012">
        <w:rPr>
          <w:rFonts w:ascii="Arial" w:hAnsi="Arial" w:cs="Arial"/>
          <w:b/>
          <w:sz w:val="22"/>
          <w:szCs w:val="22"/>
          <w:lang w:eastAsia="en-GB"/>
        </w:rPr>
        <w:lastRenderedPageBreak/>
        <w:t>The causes for poor performance vary widely but key areas include:</w:t>
      </w:r>
    </w:p>
    <w:p w:rsidR="00135B6E" w:rsidRPr="00C00012" w:rsidRDefault="00135B6E" w:rsidP="00135B6E">
      <w:pPr>
        <w:rPr>
          <w:rFonts w:ascii="Arial" w:hAnsi="Arial" w:cs="Arial"/>
          <w:sz w:val="22"/>
          <w:szCs w:val="22"/>
          <w:lang w:eastAsia="en-GB"/>
        </w:rPr>
      </w:pPr>
    </w:p>
    <w:p w:rsidR="00135B6E" w:rsidRPr="00C00012" w:rsidRDefault="00135B6E" w:rsidP="00135B6E">
      <w:pPr>
        <w:numPr>
          <w:ilvl w:val="0"/>
          <w:numId w:val="4"/>
        </w:numPr>
        <w:autoSpaceDE w:val="0"/>
        <w:autoSpaceDN w:val="0"/>
        <w:adjustRightInd w:val="0"/>
        <w:rPr>
          <w:rFonts w:ascii="Arial" w:hAnsi="Arial" w:cs="Arial"/>
          <w:sz w:val="22"/>
          <w:szCs w:val="22"/>
          <w:lang w:val="en-US" w:eastAsia="en-GB"/>
        </w:rPr>
      </w:pPr>
      <w:r w:rsidRPr="00C00012">
        <w:rPr>
          <w:rFonts w:ascii="Arial" w:hAnsi="Arial" w:cs="Arial"/>
          <w:sz w:val="22"/>
          <w:szCs w:val="22"/>
          <w:lang w:val="en-US" w:eastAsia="en-GB"/>
        </w:rPr>
        <w:t>Clinical performance (knowledge, skills, communication):</w:t>
      </w:r>
      <w:r w:rsidRPr="00C00012">
        <w:rPr>
          <w:rFonts w:ascii="Arial" w:hAnsi="Arial" w:cs="Arial"/>
          <w:sz w:val="22"/>
          <w:szCs w:val="22"/>
          <w:lang w:val="en-US" w:eastAsia="en-GB"/>
        </w:rPr>
        <w:br/>
        <w:t>-</w:t>
      </w:r>
      <w:r w:rsidRPr="00C00012">
        <w:rPr>
          <w:rFonts w:ascii="Arial" w:hAnsi="Arial" w:cs="Arial"/>
          <w:sz w:val="22"/>
          <w:szCs w:val="22"/>
          <w:lang w:val="en-US" w:eastAsia="en-GB"/>
        </w:rPr>
        <w:tab/>
        <w:t xml:space="preserve">Low standard of work, for example, frequent mistakes, inability to cope with instructions </w:t>
      </w:r>
      <w:r w:rsidRPr="00C00012">
        <w:rPr>
          <w:rFonts w:ascii="Arial" w:hAnsi="Arial" w:cs="Arial"/>
          <w:sz w:val="22"/>
          <w:szCs w:val="22"/>
          <w:lang w:val="en-US" w:eastAsia="en-GB"/>
        </w:rPr>
        <w:br/>
        <w:t>-</w:t>
      </w:r>
      <w:r w:rsidRPr="00C00012">
        <w:rPr>
          <w:rFonts w:ascii="Arial" w:hAnsi="Arial" w:cs="Arial"/>
          <w:sz w:val="22"/>
          <w:szCs w:val="22"/>
          <w:lang w:val="en-US" w:eastAsia="en-GB"/>
        </w:rPr>
        <w:tab/>
        <w:t>Lack of awareness of required standards</w:t>
      </w:r>
      <w:r w:rsidRPr="00C00012">
        <w:rPr>
          <w:rFonts w:ascii="Arial" w:hAnsi="Arial" w:cs="Arial"/>
          <w:sz w:val="22"/>
          <w:szCs w:val="22"/>
          <w:lang w:val="en-US" w:eastAsia="en-GB"/>
        </w:rPr>
        <w:br/>
        <w:t>-</w:t>
      </w:r>
      <w:r w:rsidRPr="00C00012">
        <w:rPr>
          <w:rFonts w:ascii="Arial" w:hAnsi="Arial" w:cs="Arial"/>
          <w:sz w:val="22"/>
          <w:szCs w:val="22"/>
          <w:lang w:val="en-US" w:eastAsia="en-GB"/>
        </w:rPr>
        <w:tab/>
        <w:t>Acting outside limits of competence</w:t>
      </w:r>
    </w:p>
    <w:p w:rsidR="00135B6E" w:rsidRPr="00C00012" w:rsidRDefault="00135B6E" w:rsidP="00135B6E">
      <w:pPr>
        <w:numPr>
          <w:ilvl w:val="0"/>
          <w:numId w:val="4"/>
        </w:numPr>
        <w:autoSpaceDE w:val="0"/>
        <w:autoSpaceDN w:val="0"/>
        <w:adjustRightInd w:val="0"/>
        <w:rPr>
          <w:rFonts w:ascii="Arial" w:hAnsi="Arial" w:cs="Arial"/>
          <w:sz w:val="22"/>
          <w:szCs w:val="22"/>
          <w:lang w:val="en-US" w:eastAsia="en-GB"/>
        </w:rPr>
      </w:pPr>
      <w:r w:rsidRPr="00C00012">
        <w:rPr>
          <w:rFonts w:ascii="Arial" w:hAnsi="Arial" w:cs="Arial"/>
          <w:sz w:val="22"/>
          <w:szCs w:val="22"/>
          <w:lang w:val="en-US" w:eastAsia="en-GB"/>
        </w:rPr>
        <w:t>Personality and behavioral issues: (professionalism, attitudes to patients/colleagues)</w:t>
      </w:r>
    </w:p>
    <w:p w:rsidR="00135B6E" w:rsidRPr="00C00012" w:rsidRDefault="00135B6E" w:rsidP="00135B6E">
      <w:pPr>
        <w:numPr>
          <w:ilvl w:val="0"/>
          <w:numId w:val="4"/>
        </w:numPr>
        <w:autoSpaceDE w:val="0"/>
        <w:autoSpaceDN w:val="0"/>
        <w:adjustRightInd w:val="0"/>
        <w:rPr>
          <w:rFonts w:ascii="Arial" w:hAnsi="Arial" w:cs="Arial"/>
          <w:sz w:val="22"/>
          <w:szCs w:val="22"/>
          <w:lang w:val="en-US" w:eastAsia="en-GB"/>
        </w:rPr>
      </w:pPr>
      <w:r w:rsidRPr="00C00012">
        <w:rPr>
          <w:rFonts w:ascii="Arial" w:hAnsi="Arial" w:cs="Arial"/>
          <w:sz w:val="22"/>
          <w:szCs w:val="22"/>
          <w:lang w:val="en-US" w:eastAsia="en-GB"/>
        </w:rPr>
        <w:t>Sickness / ill health</w:t>
      </w:r>
    </w:p>
    <w:p w:rsidR="00135B6E" w:rsidRPr="00C00012" w:rsidRDefault="00135B6E" w:rsidP="00135B6E">
      <w:pPr>
        <w:numPr>
          <w:ilvl w:val="0"/>
          <w:numId w:val="4"/>
        </w:numPr>
        <w:rPr>
          <w:rFonts w:ascii="Arial" w:hAnsi="Arial" w:cs="Arial"/>
          <w:sz w:val="22"/>
          <w:szCs w:val="22"/>
          <w:lang w:eastAsia="en-GB"/>
        </w:rPr>
      </w:pPr>
      <w:r w:rsidRPr="00C00012">
        <w:rPr>
          <w:rFonts w:ascii="Arial" w:hAnsi="Arial" w:cs="Arial"/>
          <w:sz w:val="22"/>
          <w:szCs w:val="22"/>
          <w:lang w:eastAsia="en-GB"/>
        </w:rPr>
        <w:t>Life events (bereavement, family and personal problems)</w:t>
      </w:r>
    </w:p>
    <w:p w:rsidR="00135B6E" w:rsidRPr="00C00012" w:rsidRDefault="00135B6E" w:rsidP="00135B6E">
      <w:pPr>
        <w:numPr>
          <w:ilvl w:val="0"/>
          <w:numId w:val="4"/>
        </w:numPr>
        <w:rPr>
          <w:rFonts w:ascii="Arial" w:hAnsi="Arial" w:cs="Arial"/>
          <w:sz w:val="22"/>
          <w:szCs w:val="22"/>
          <w:lang w:eastAsia="en-GB"/>
        </w:rPr>
      </w:pPr>
      <w:r w:rsidRPr="00C00012">
        <w:rPr>
          <w:rFonts w:ascii="Arial" w:hAnsi="Arial" w:cs="Arial"/>
          <w:sz w:val="22"/>
          <w:szCs w:val="22"/>
          <w:lang w:eastAsia="en-GB"/>
        </w:rPr>
        <w:t>Environmental issues: (organisational, workload, available training, bullying and harassment)</w:t>
      </w:r>
    </w:p>
    <w:p w:rsidR="00135B6E" w:rsidRPr="00C00012" w:rsidRDefault="00135B6E" w:rsidP="00135B6E">
      <w:pPr>
        <w:numPr>
          <w:ilvl w:val="0"/>
          <w:numId w:val="4"/>
        </w:numPr>
        <w:rPr>
          <w:rFonts w:ascii="Arial" w:hAnsi="Arial" w:cs="Arial"/>
          <w:sz w:val="22"/>
          <w:szCs w:val="22"/>
          <w:lang w:eastAsia="en-GB"/>
        </w:rPr>
      </w:pPr>
      <w:r w:rsidRPr="00C00012">
        <w:rPr>
          <w:rFonts w:ascii="Arial" w:hAnsi="Arial" w:cs="Arial"/>
          <w:sz w:val="22"/>
          <w:szCs w:val="22"/>
          <w:lang w:eastAsia="en-GB"/>
        </w:rPr>
        <w:t>Lack of engagement with education and training</w:t>
      </w:r>
      <w:r w:rsidRPr="00C00012">
        <w:rPr>
          <w:rFonts w:ascii="Arial" w:hAnsi="Arial" w:cs="Arial"/>
          <w:sz w:val="22"/>
          <w:szCs w:val="22"/>
          <w:lang w:eastAsia="en-GB"/>
        </w:rPr>
        <w:br/>
      </w: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sz w:val="22"/>
          <w:szCs w:val="22"/>
          <w:lang w:eastAsia="en-GB"/>
        </w:rPr>
      </w:pPr>
      <w:r w:rsidRPr="00C00012">
        <w:rPr>
          <w:rFonts w:ascii="Arial" w:hAnsi="Arial" w:cs="Arial"/>
          <w:b/>
          <w:sz w:val="22"/>
          <w:szCs w:val="22"/>
          <w:lang w:eastAsia="en-GB"/>
        </w:rPr>
        <w:t>Seven ‘Early Warning Signs’</w:t>
      </w: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jc w:val="center"/>
        <w:rPr>
          <w:rFonts w:ascii="Arial" w:hAnsi="Arial" w:cs="Arial"/>
          <w:b/>
          <w:sz w:val="22"/>
          <w:szCs w:val="22"/>
          <w:lang w:eastAsia="en-GB"/>
        </w:rPr>
      </w:pP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b/>
          <w:sz w:val="22"/>
          <w:szCs w:val="22"/>
          <w:lang w:val="en-US" w:eastAsia="en-GB"/>
        </w:rPr>
      </w:pPr>
      <w:proofErr w:type="gramStart"/>
      <w:r w:rsidRPr="00C00012">
        <w:rPr>
          <w:rFonts w:ascii="Arial" w:hAnsi="Arial" w:cs="Arial"/>
          <w:b/>
          <w:sz w:val="22"/>
          <w:szCs w:val="22"/>
          <w:lang w:eastAsia="en-GB"/>
        </w:rPr>
        <w:t>The ‘Disappearing Act’</w:t>
      </w:r>
      <w:r w:rsidRPr="00C00012">
        <w:rPr>
          <w:rFonts w:ascii="Arial" w:hAnsi="Arial" w:cs="Arial"/>
          <w:b/>
          <w:sz w:val="22"/>
          <w:szCs w:val="22"/>
          <w:lang w:val="en-US" w:eastAsia="en-GB"/>
        </w:rPr>
        <w:tab/>
      </w:r>
      <w:r w:rsidRPr="00C00012">
        <w:rPr>
          <w:rFonts w:ascii="Arial" w:hAnsi="Arial" w:cs="Arial"/>
          <w:sz w:val="22"/>
          <w:szCs w:val="22"/>
          <w:lang w:eastAsia="en-GB"/>
        </w:rPr>
        <w:t>not answering bleeps; disappearing between clinic and ward; lateness; frequent sick leave.</w:t>
      </w:r>
      <w:proofErr w:type="gramEnd"/>
      <w:r w:rsidRPr="00C00012">
        <w:rPr>
          <w:rFonts w:ascii="Arial" w:hAnsi="Arial" w:cs="Arial"/>
          <w:b/>
          <w:sz w:val="22"/>
          <w:szCs w:val="22"/>
          <w:lang w:val="en-US" w:eastAsia="en-GB"/>
        </w:rPr>
        <w:tab/>
        <w:t xml:space="preserve"> </w:t>
      </w: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b/>
          <w:sz w:val="22"/>
          <w:szCs w:val="22"/>
          <w:lang w:val="en-US" w:eastAsia="en-GB"/>
        </w:rPr>
      </w:pP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sz w:val="22"/>
          <w:szCs w:val="22"/>
          <w:lang w:val="en-US" w:eastAsia="en-GB"/>
        </w:rPr>
      </w:pPr>
      <w:r w:rsidRPr="00C00012">
        <w:rPr>
          <w:rFonts w:ascii="Arial" w:hAnsi="Arial" w:cs="Arial"/>
          <w:b/>
          <w:sz w:val="22"/>
          <w:szCs w:val="22"/>
          <w:lang w:val="en-US" w:eastAsia="en-GB"/>
        </w:rPr>
        <w:t>Low work rate</w:t>
      </w:r>
      <w:r w:rsidRPr="00C00012">
        <w:rPr>
          <w:rFonts w:ascii="Arial" w:hAnsi="Arial" w:cs="Arial"/>
          <w:b/>
          <w:sz w:val="22"/>
          <w:szCs w:val="22"/>
          <w:lang w:val="en-US" w:eastAsia="en-GB"/>
        </w:rPr>
        <w:tab/>
      </w:r>
      <w:r w:rsidRPr="00C00012">
        <w:rPr>
          <w:rFonts w:ascii="Arial" w:hAnsi="Arial" w:cs="Arial"/>
          <w:sz w:val="22"/>
          <w:szCs w:val="22"/>
          <w:lang w:val="en-US" w:eastAsia="en-GB"/>
        </w:rPr>
        <w:t>slowness in doing procedures, clerking patients, dictating letters, making decisions; arriving early, leaving late and still not achieving a reasonable workload.</w:t>
      </w: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b/>
          <w:sz w:val="22"/>
          <w:szCs w:val="22"/>
          <w:lang w:val="en-US" w:eastAsia="en-GB"/>
        </w:rPr>
      </w:pP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sz w:val="22"/>
          <w:szCs w:val="22"/>
          <w:lang w:val="en-US" w:eastAsia="en-GB"/>
        </w:rPr>
      </w:pPr>
      <w:proofErr w:type="gramStart"/>
      <w:r w:rsidRPr="00C00012">
        <w:rPr>
          <w:rFonts w:ascii="Arial" w:hAnsi="Arial" w:cs="Arial"/>
          <w:b/>
          <w:sz w:val="22"/>
          <w:szCs w:val="22"/>
          <w:lang w:val="en-US" w:eastAsia="en-GB"/>
        </w:rPr>
        <w:t>‘Ward Rage’</w:t>
      </w:r>
      <w:r w:rsidRPr="00C00012">
        <w:rPr>
          <w:rFonts w:ascii="Arial" w:hAnsi="Arial" w:cs="Arial"/>
          <w:b/>
          <w:sz w:val="22"/>
          <w:szCs w:val="22"/>
          <w:lang w:val="en-US" w:eastAsia="en-GB"/>
        </w:rPr>
        <w:tab/>
      </w:r>
      <w:r w:rsidRPr="00C00012">
        <w:rPr>
          <w:rFonts w:ascii="Arial" w:hAnsi="Arial" w:cs="Arial"/>
          <w:sz w:val="22"/>
          <w:szCs w:val="22"/>
          <w:lang w:val="en-US" w:eastAsia="en-GB"/>
        </w:rPr>
        <w:t>bursts of temper; shouting matches; real or imagined slights.</w:t>
      </w:r>
      <w:proofErr w:type="gramEnd"/>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b/>
          <w:sz w:val="22"/>
          <w:szCs w:val="22"/>
          <w:lang w:val="en-US" w:eastAsia="en-GB"/>
        </w:rPr>
      </w:pP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sz w:val="22"/>
          <w:szCs w:val="22"/>
          <w:lang w:val="en-US" w:eastAsia="en-GB"/>
        </w:rPr>
      </w:pPr>
      <w:r w:rsidRPr="00C00012">
        <w:rPr>
          <w:rFonts w:ascii="Arial" w:hAnsi="Arial" w:cs="Arial"/>
          <w:b/>
          <w:sz w:val="22"/>
          <w:szCs w:val="22"/>
          <w:lang w:val="en-US" w:eastAsia="en-GB"/>
        </w:rPr>
        <w:t>Rigidity</w:t>
      </w:r>
      <w:r w:rsidRPr="00C00012">
        <w:rPr>
          <w:rFonts w:ascii="Arial" w:hAnsi="Arial" w:cs="Arial"/>
          <w:b/>
          <w:sz w:val="22"/>
          <w:szCs w:val="22"/>
          <w:lang w:val="en-US" w:eastAsia="en-GB"/>
        </w:rPr>
        <w:tab/>
      </w:r>
      <w:r w:rsidRPr="00C00012">
        <w:rPr>
          <w:rFonts w:ascii="Arial" w:hAnsi="Arial" w:cs="Arial"/>
          <w:sz w:val="22"/>
          <w:szCs w:val="22"/>
          <w:lang w:val="en-US" w:eastAsia="en-GB"/>
        </w:rPr>
        <w:t xml:space="preserve">poor tolerance of ambiguity; inability to compromise; difficulty </w:t>
      </w:r>
      <w:r w:rsidRPr="00C00012">
        <w:rPr>
          <w:rFonts w:ascii="Arial" w:hAnsi="Arial" w:cs="Arial"/>
          <w:sz w:val="22"/>
          <w:szCs w:val="22"/>
          <w:lang w:eastAsia="en-GB"/>
        </w:rPr>
        <w:t>prioritising</w:t>
      </w:r>
      <w:r w:rsidRPr="00C00012">
        <w:rPr>
          <w:rFonts w:ascii="Arial" w:hAnsi="Arial" w:cs="Arial"/>
          <w:sz w:val="22"/>
          <w:szCs w:val="22"/>
          <w:lang w:val="en-US" w:eastAsia="en-GB"/>
        </w:rPr>
        <w:t>; inappropriate ‘whistle blowing’.</w:t>
      </w: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sz w:val="22"/>
          <w:szCs w:val="22"/>
          <w:lang w:val="en-US" w:eastAsia="en-GB"/>
        </w:rPr>
      </w:pP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sz w:val="22"/>
          <w:szCs w:val="22"/>
          <w:lang w:val="en-US" w:eastAsia="en-GB"/>
        </w:rPr>
      </w:pPr>
      <w:r w:rsidRPr="00C00012">
        <w:rPr>
          <w:rFonts w:ascii="Arial" w:hAnsi="Arial" w:cs="Arial"/>
          <w:b/>
          <w:sz w:val="22"/>
          <w:szCs w:val="22"/>
          <w:lang w:val="en-US" w:eastAsia="en-GB"/>
        </w:rPr>
        <w:t>‘Bypass Syndrome’</w:t>
      </w:r>
      <w:r w:rsidRPr="00C00012">
        <w:rPr>
          <w:rFonts w:ascii="Arial" w:hAnsi="Arial" w:cs="Arial"/>
          <w:b/>
          <w:sz w:val="22"/>
          <w:szCs w:val="22"/>
          <w:lang w:val="en-US" w:eastAsia="en-GB"/>
        </w:rPr>
        <w:tab/>
      </w:r>
      <w:r w:rsidRPr="00C00012">
        <w:rPr>
          <w:rFonts w:ascii="Arial" w:hAnsi="Arial" w:cs="Arial"/>
          <w:sz w:val="22"/>
          <w:szCs w:val="22"/>
          <w:lang w:val="en-US" w:eastAsia="en-GB"/>
        </w:rPr>
        <w:t>junior colleagues or nurses find ways to avoid seeking the doctor’s opinion or help.</w:t>
      </w: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sz w:val="22"/>
          <w:szCs w:val="22"/>
          <w:lang w:val="en-US" w:eastAsia="en-GB"/>
        </w:rPr>
      </w:pP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sz w:val="22"/>
          <w:szCs w:val="22"/>
          <w:lang w:val="en-US" w:eastAsia="en-GB"/>
        </w:rPr>
      </w:pPr>
      <w:proofErr w:type="gramStart"/>
      <w:r w:rsidRPr="00C00012">
        <w:rPr>
          <w:rFonts w:ascii="Arial" w:hAnsi="Arial" w:cs="Arial"/>
          <w:b/>
          <w:sz w:val="22"/>
          <w:szCs w:val="22"/>
          <w:lang w:val="en-US" w:eastAsia="en-GB"/>
        </w:rPr>
        <w:t>Career problems</w:t>
      </w:r>
      <w:r w:rsidRPr="00C00012">
        <w:rPr>
          <w:rFonts w:ascii="Arial" w:hAnsi="Arial" w:cs="Arial"/>
          <w:sz w:val="22"/>
          <w:szCs w:val="22"/>
          <w:lang w:val="en-US" w:eastAsia="en-GB"/>
        </w:rPr>
        <w:tab/>
        <w:t>difficulty with exams; uncertainty about career choice; disillusionment with medicine.</w:t>
      </w:r>
      <w:proofErr w:type="gramEnd"/>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sz w:val="22"/>
          <w:szCs w:val="22"/>
          <w:lang w:val="en-US" w:eastAsia="en-GB"/>
        </w:rPr>
      </w:pP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sz w:val="22"/>
          <w:szCs w:val="22"/>
          <w:lang w:val="en-US" w:eastAsia="en-GB"/>
        </w:rPr>
      </w:pPr>
      <w:proofErr w:type="gramStart"/>
      <w:r w:rsidRPr="00C00012">
        <w:rPr>
          <w:rFonts w:ascii="Arial" w:hAnsi="Arial" w:cs="Arial"/>
          <w:b/>
          <w:sz w:val="22"/>
          <w:szCs w:val="22"/>
          <w:lang w:val="en-US" w:eastAsia="en-GB"/>
        </w:rPr>
        <w:t>Insight failure</w:t>
      </w:r>
      <w:r w:rsidRPr="00C00012">
        <w:rPr>
          <w:rFonts w:ascii="Arial" w:hAnsi="Arial" w:cs="Arial"/>
          <w:b/>
          <w:sz w:val="22"/>
          <w:szCs w:val="22"/>
          <w:lang w:val="en-US" w:eastAsia="en-GB"/>
        </w:rPr>
        <w:tab/>
      </w:r>
      <w:r w:rsidRPr="00C00012">
        <w:rPr>
          <w:rFonts w:ascii="Arial" w:hAnsi="Arial" w:cs="Arial"/>
          <w:sz w:val="22"/>
          <w:szCs w:val="22"/>
          <w:lang w:val="en-US" w:eastAsia="en-GB"/>
        </w:rPr>
        <w:t>rejection of constructive criticism; defensiveness; counter-challenge.</w:t>
      </w:r>
      <w:proofErr w:type="gramEnd"/>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sz w:val="22"/>
          <w:szCs w:val="22"/>
          <w:lang w:val="en-US" w:eastAsia="en-GB"/>
        </w:rPr>
      </w:pPr>
    </w:p>
    <w:p w:rsidR="00135B6E" w:rsidRPr="00C00012" w:rsidRDefault="00135B6E" w:rsidP="00135B6E">
      <w:pPr>
        <w:pBdr>
          <w:top w:val="single" w:sz="4" w:space="1" w:color="auto"/>
          <w:left w:val="single" w:sz="4" w:space="4" w:color="auto"/>
          <w:bottom w:val="single" w:sz="4" w:space="1" w:color="auto"/>
          <w:right w:val="single" w:sz="4" w:space="4" w:color="auto"/>
        </w:pBdr>
        <w:shd w:val="clear" w:color="auto" w:fill="99CCFF"/>
        <w:ind w:left="2880" w:hanging="2880"/>
        <w:rPr>
          <w:rFonts w:ascii="Arial" w:hAnsi="Arial" w:cs="Arial"/>
          <w:sz w:val="22"/>
          <w:szCs w:val="22"/>
          <w:lang w:val="en-US" w:eastAsia="en-GB"/>
        </w:rPr>
      </w:pPr>
      <w:proofErr w:type="spellStart"/>
      <w:r w:rsidRPr="00C00012">
        <w:rPr>
          <w:rFonts w:ascii="Arial" w:hAnsi="Arial" w:cs="Arial"/>
          <w:i/>
          <w:sz w:val="22"/>
          <w:szCs w:val="22"/>
          <w:lang w:eastAsia="en-GB"/>
        </w:rPr>
        <w:t>Paice</w:t>
      </w:r>
      <w:proofErr w:type="spellEnd"/>
      <w:r w:rsidRPr="00C00012">
        <w:rPr>
          <w:rFonts w:ascii="Arial" w:hAnsi="Arial" w:cs="Arial"/>
          <w:i/>
          <w:sz w:val="22"/>
          <w:szCs w:val="22"/>
          <w:lang w:eastAsia="en-GB"/>
        </w:rPr>
        <w:t xml:space="preserve"> E (2006) </w:t>
      </w:r>
    </w:p>
    <w:p w:rsidR="00135B6E" w:rsidRPr="00C00012" w:rsidRDefault="00135B6E" w:rsidP="00135B6E">
      <w:pPr>
        <w:rPr>
          <w:rFonts w:ascii="Arial" w:hAnsi="Arial" w:cs="Arial"/>
          <w:color w:val="333333"/>
          <w:sz w:val="22"/>
          <w:szCs w:val="22"/>
          <w:lang w:eastAsia="en-GB"/>
        </w:rPr>
      </w:pPr>
    </w:p>
    <w:p w:rsidR="00135B6E" w:rsidRPr="00C00012" w:rsidRDefault="00135B6E" w:rsidP="00135B6E">
      <w:pPr>
        <w:rPr>
          <w:rFonts w:ascii="Arial" w:hAnsi="Arial" w:cs="Arial"/>
          <w:color w:val="333333"/>
          <w:sz w:val="22"/>
          <w:szCs w:val="22"/>
          <w:lang w:eastAsia="en-GB"/>
        </w:rPr>
      </w:pPr>
    </w:p>
    <w:p w:rsidR="00135B6E" w:rsidRPr="00C00012" w:rsidRDefault="00135B6E" w:rsidP="00135B6E">
      <w:pPr>
        <w:rPr>
          <w:rFonts w:ascii="Arial" w:hAnsi="Arial" w:cs="Arial"/>
          <w:color w:val="333333"/>
          <w:sz w:val="22"/>
          <w:szCs w:val="22"/>
          <w:lang w:eastAsia="en-GB"/>
        </w:rPr>
      </w:pPr>
    </w:p>
    <w:p w:rsidR="00135B6E" w:rsidRPr="00C00012" w:rsidRDefault="00135B6E" w:rsidP="00135B6E">
      <w:pPr>
        <w:rPr>
          <w:rFonts w:ascii="Arial" w:hAnsi="Arial" w:cs="Arial"/>
          <w:b/>
          <w:color w:val="000000"/>
          <w:sz w:val="22"/>
          <w:szCs w:val="22"/>
          <w:lang w:eastAsia="en-GB"/>
        </w:rPr>
      </w:pPr>
      <w:r w:rsidRPr="00C00012">
        <w:rPr>
          <w:rFonts w:ascii="Arial" w:hAnsi="Arial" w:cs="Arial"/>
          <w:b/>
          <w:color w:val="000000"/>
          <w:sz w:val="22"/>
          <w:szCs w:val="22"/>
          <w:lang w:eastAsia="en-GB"/>
        </w:rPr>
        <w:t>Classifying the Scale of Concern</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 xml:space="preserve">The scale of concern for a trainee will vary. The Educational Supervisor and Clinical Supervisor, usually with the TPD in the case of GP specialty trainees (GPST), will meet with the trainee in the first instance to classify the concern from level 1 (low level) to level 3 (high level).  </w:t>
      </w:r>
    </w:p>
    <w:p w:rsidR="00480248" w:rsidRPr="00C00012" w:rsidRDefault="00480248"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4A0" w:firstRow="1" w:lastRow="0" w:firstColumn="1" w:lastColumn="0" w:noHBand="0" w:noVBand="1"/>
      </w:tblPr>
      <w:tblGrid>
        <w:gridCol w:w="3547"/>
        <w:gridCol w:w="3548"/>
        <w:gridCol w:w="3548"/>
      </w:tblGrid>
      <w:tr w:rsidR="00135B6E" w:rsidRPr="00C00012" w:rsidTr="002661A3">
        <w:trPr>
          <w:trHeight w:val="1975"/>
        </w:trPr>
        <w:tc>
          <w:tcPr>
            <w:tcW w:w="3547" w:type="dxa"/>
            <w:tcBorders>
              <w:bottom w:val="single" w:sz="4" w:space="0" w:color="auto"/>
            </w:tcBorders>
            <w:shd w:val="clear" w:color="auto" w:fill="99CCFF"/>
          </w:tcPr>
          <w:p w:rsidR="00135B6E" w:rsidRPr="00C00012" w:rsidRDefault="00135B6E" w:rsidP="00135B6E">
            <w:pPr>
              <w:spacing w:line="360" w:lineRule="auto"/>
              <w:jc w:val="center"/>
              <w:rPr>
                <w:rFonts w:ascii="Arial" w:hAnsi="Arial" w:cs="Arial"/>
                <w:b/>
                <w:sz w:val="22"/>
                <w:szCs w:val="22"/>
                <w:lang w:eastAsia="zh-CN"/>
              </w:rPr>
            </w:pPr>
            <w:r w:rsidRPr="00C00012">
              <w:rPr>
                <w:rFonts w:ascii="Arial" w:hAnsi="Arial" w:cs="Arial"/>
                <w:b/>
                <w:sz w:val="22"/>
                <w:szCs w:val="22"/>
                <w:lang w:eastAsia="zh-CN"/>
              </w:rPr>
              <w:t>Level 1</w:t>
            </w:r>
          </w:p>
          <w:p w:rsidR="00135B6E" w:rsidRPr="00C00012" w:rsidRDefault="00135B6E" w:rsidP="00135B6E">
            <w:pPr>
              <w:spacing w:line="360" w:lineRule="auto"/>
              <w:jc w:val="center"/>
              <w:rPr>
                <w:rFonts w:ascii="Arial" w:hAnsi="Arial" w:cs="Arial"/>
                <w:b/>
                <w:sz w:val="22"/>
                <w:szCs w:val="22"/>
                <w:lang w:eastAsia="zh-CN"/>
              </w:rPr>
            </w:pPr>
            <w:r w:rsidRPr="00C00012">
              <w:rPr>
                <w:rFonts w:ascii="Arial" w:hAnsi="Arial" w:cs="Arial"/>
                <w:b/>
                <w:sz w:val="22"/>
                <w:szCs w:val="22"/>
                <w:lang w:eastAsia="zh-CN"/>
              </w:rPr>
              <w:t>Low Level Concerns</w:t>
            </w:r>
          </w:p>
        </w:tc>
        <w:tc>
          <w:tcPr>
            <w:tcW w:w="3548" w:type="dxa"/>
            <w:shd w:val="clear" w:color="auto" w:fill="99CCFF"/>
          </w:tcPr>
          <w:p w:rsidR="00135B6E" w:rsidRPr="00C00012" w:rsidRDefault="00135B6E" w:rsidP="00135B6E">
            <w:pPr>
              <w:spacing w:line="360" w:lineRule="auto"/>
              <w:jc w:val="center"/>
              <w:rPr>
                <w:rFonts w:ascii="Arial" w:hAnsi="Arial" w:cs="Arial"/>
                <w:b/>
                <w:sz w:val="22"/>
                <w:szCs w:val="22"/>
                <w:lang w:eastAsia="zh-CN"/>
              </w:rPr>
            </w:pPr>
            <w:r w:rsidRPr="00C00012">
              <w:rPr>
                <w:rFonts w:ascii="Arial" w:hAnsi="Arial" w:cs="Arial"/>
                <w:b/>
                <w:sz w:val="22"/>
                <w:szCs w:val="22"/>
                <w:lang w:eastAsia="zh-CN"/>
              </w:rPr>
              <w:t>Level 2</w:t>
            </w:r>
          </w:p>
          <w:p w:rsidR="00135B6E" w:rsidRPr="00C00012" w:rsidRDefault="00135B6E" w:rsidP="00135B6E">
            <w:pPr>
              <w:spacing w:line="360" w:lineRule="auto"/>
              <w:jc w:val="center"/>
              <w:rPr>
                <w:rFonts w:ascii="Arial" w:hAnsi="Arial" w:cs="Arial"/>
                <w:b/>
                <w:sz w:val="22"/>
                <w:szCs w:val="22"/>
                <w:lang w:eastAsia="zh-CN"/>
              </w:rPr>
            </w:pPr>
            <w:r w:rsidRPr="00C00012">
              <w:rPr>
                <w:rFonts w:ascii="Arial" w:hAnsi="Arial" w:cs="Arial"/>
                <w:b/>
                <w:sz w:val="22"/>
                <w:szCs w:val="22"/>
                <w:lang w:eastAsia="zh-CN"/>
              </w:rPr>
              <w:t>Intermediate Level</w:t>
            </w:r>
          </w:p>
        </w:tc>
        <w:tc>
          <w:tcPr>
            <w:tcW w:w="3548" w:type="dxa"/>
            <w:shd w:val="clear" w:color="auto" w:fill="99CCFF"/>
          </w:tcPr>
          <w:p w:rsidR="00135B6E" w:rsidRPr="00C00012" w:rsidRDefault="00135B6E" w:rsidP="00135B6E">
            <w:pPr>
              <w:spacing w:line="360" w:lineRule="auto"/>
              <w:jc w:val="center"/>
              <w:rPr>
                <w:rFonts w:ascii="Arial" w:hAnsi="Arial" w:cs="Arial"/>
                <w:b/>
                <w:sz w:val="22"/>
                <w:szCs w:val="22"/>
                <w:lang w:eastAsia="zh-CN"/>
              </w:rPr>
            </w:pPr>
            <w:r w:rsidRPr="00C00012">
              <w:rPr>
                <w:rFonts w:ascii="Arial" w:hAnsi="Arial" w:cs="Arial"/>
                <w:b/>
                <w:sz w:val="22"/>
                <w:szCs w:val="22"/>
                <w:lang w:eastAsia="zh-CN"/>
              </w:rPr>
              <w:t>Level 3</w:t>
            </w:r>
          </w:p>
          <w:p w:rsidR="00135B6E" w:rsidRPr="00C00012" w:rsidRDefault="00135B6E" w:rsidP="00135B6E">
            <w:pPr>
              <w:spacing w:line="360" w:lineRule="auto"/>
              <w:jc w:val="center"/>
              <w:rPr>
                <w:rFonts w:ascii="Arial" w:hAnsi="Arial" w:cs="Arial"/>
                <w:b/>
                <w:sz w:val="22"/>
                <w:szCs w:val="22"/>
                <w:lang w:eastAsia="zh-CN"/>
              </w:rPr>
            </w:pPr>
            <w:r w:rsidRPr="00C00012">
              <w:rPr>
                <w:rFonts w:ascii="Arial" w:hAnsi="Arial" w:cs="Arial"/>
                <w:b/>
                <w:sz w:val="22"/>
                <w:szCs w:val="22"/>
                <w:lang w:eastAsia="zh-CN"/>
              </w:rPr>
              <w:t>High Level Concerns</w:t>
            </w:r>
          </w:p>
        </w:tc>
      </w:tr>
      <w:tr w:rsidR="00135B6E" w:rsidRPr="00C00012" w:rsidTr="002661A3">
        <w:trPr>
          <w:trHeight w:val="11176"/>
        </w:trPr>
        <w:tc>
          <w:tcPr>
            <w:tcW w:w="3547" w:type="dxa"/>
            <w:tcBorders>
              <w:right w:val="dashed" w:sz="4" w:space="0" w:color="auto"/>
            </w:tcBorders>
            <w:shd w:val="clear" w:color="auto" w:fill="99CCFF"/>
          </w:tcPr>
          <w:p w:rsidR="00135B6E" w:rsidRPr="00C00012" w:rsidRDefault="00135B6E" w:rsidP="00135B6E">
            <w:pPr>
              <w:rPr>
                <w:rFonts w:ascii="Arial" w:hAnsi="Arial" w:cs="Arial"/>
                <w:sz w:val="22"/>
                <w:szCs w:val="22"/>
                <w:lang w:eastAsia="zh-CN"/>
              </w:rPr>
            </w:pPr>
            <w:r w:rsidRPr="00C00012">
              <w:rPr>
                <w:rFonts w:ascii="Arial" w:hAnsi="Arial" w:cs="Arial"/>
                <w:noProof/>
                <w:sz w:val="22"/>
                <w:szCs w:val="22"/>
                <w:lang w:eastAsia="en-GB"/>
              </w:rPr>
              <w:lastRenderedPageBreak/>
              <mc:AlternateContent>
                <mc:Choice Requires="wps">
                  <w:drawing>
                    <wp:anchor distT="0" distB="0" distL="114300" distR="114300" simplePos="0" relativeHeight="251661312" behindDoc="0" locked="0" layoutInCell="1" allowOverlap="1" wp14:anchorId="4024E8FC" wp14:editId="630AE65C">
                      <wp:simplePos x="0" y="0"/>
                      <wp:positionH relativeFrom="column">
                        <wp:posOffset>330882</wp:posOffset>
                      </wp:positionH>
                      <wp:positionV relativeFrom="paragraph">
                        <wp:posOffset>83485</wp:posOffset>
                      </wp:positionV>
                      <wp:extent cx="6055743" cy="581025"/>
                      <wp:effectExtent l="0" t="19050" r="59690" b="476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743" cy="581025"/>
                              </a:xfrm>
                              <a:prstGeom prst="rightArrow">
                                <a:avLst>
                                  <a:gd name="adj1" fmla="val 50000"/>
                                  <a:gd name="adj2" fmla="val 292647"/>
                                </a:avLst>
                              </a:prstGeom>
                              <a:solidFill>
                                <a:srgbClr val="FFFFFF"/>
                              </a:solidFill>
                              <a:ln w="9525">
                                <a:solidFill>
                                  <a:srgbClr val="000000"/>
                                </a:solidFill>
                                <a:miter lim="800000"/>
                                <a:headEnd/>
                                <a:tailEnd/>
                              </a:ln>
                            </wps:spPr>
                            <wps:txbx>
                              <w:txbxContent>
                                <w:p w:rsidR="005A55A2" w:rsidRPr="000505E6" w:rsidRDefault="005A55A2" w:rsidP="00135B6E">
                                  <w:pPr>
                                    <w:jc w:val="center"/>
                                    <w:rPr>
                                      <w:rFonts w:cs="Arial"/>
                                      <w:b/>
                                      <w:color w:val="1F497D"/>
                                    </w:rPr>
                                  </w:pPr>
                                  <w:r w:rsidRPr="000505E6">
                                    <w:rPr>
                                      <w:rFonts w:cs="Arial"/>
                                      <w:b/>
                                      <w:color w:val="1F497D"/>
                                    </w:rPr>
                                    <w:t>Repeated Incidents / Inability to resolve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26.05pt;margin-top:6.55pt;width:476.8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" adj="15535">
                      <v:textbox>
                        <w:txbxContent>
                          <w:p w:rsidR="005A55A2" w:rsidRPr="000505E6" w:rsidRDefault="005A55A2" w:rsidP="00135B6E">
                            <w:pPr>
                              <w:jc w:val="center"/>
                              <w:rPr>
                                <w:rFonts w:cs="Arial"/>
                                <w:b/>
                                <w:color w:val="1F497D"/>
                              </w:rPr>
                            </w:pPr>
                            <w:r w:rsidRPr="000505E6">
                              <w:rPr>
                                <w:rFonts w:cs="Arial"/>
                                <w:b/>
                                <w:color w:val="1F497D"/>
                              </w:rPr>
                              <w:t>Repeated Incidents / Inability to resolve</w:t>
                            </w:r>
                          </w:p>
                        </w:txbxContent>
                      </v:textbox>
                    </v:shape>
                  </w:pict>
                </mc:Fallback>
              </mc:AlternateContent>
            </w:r>
          </w:p>
          <w:p w:rsidR="00135B6E" w:rsidRPr="00C00012" w:rsidRDefault="00135B6E" w:rsidP="00135B6E">
            <w:pPr>
              <w:rPr>
                <w:rFonts w:ascii="Arial" w:hAnsi="Arial" w:cs="Arial"/>
                <w:sz w:val="22"/>
                <w:szCs w:val="22"/>
                <w:lang w:eastAsia="zh-CN"/>
              </w:rPr>
            </w:pPr>
          </w:p>
          <w:p w:rsidR="00135B6E" w:rsidRPr="00C00012" w:rsidRDefault="00135B6E" w:rsidP="00135B6E">
            <w:pPr>
              <w:rPr>
                <w:rFonts w:ascii="Arial" w:hAnsi="Arial" w:cs="Arial"/>
                <w:sz w:val="22"/>
                <w:szCs w:val="22"/>
                <w:lang w:eastAsia="zh-CN"/>
              </w:rPr>
            </w:pPr>
          </w:p>
          <w:p w:rsidR="00135B6E" w:rsidRPr="00C00012" w:rsidRDefault="00135B6E" w:rsidP="00135B6E">
            <w:pPr>
              <w:rPr>
                <w:rFonts w:ascii="Arial" w:hAnsi="Arial" w:cs="Arial"/>
                <w:sz w:val="22"/>
                <w:szCs w:val="22"/>
                <w:lang w:eastAsia="zh-CN"/>
              </w:rPr>
            </w:pPr>
          </w:p>
          <w:p w:rsidR="00135B6E" w:rsidRPr="00C00012" w:rsidRDefault="00135B6E" w:rsidP="00135B6E">
            <w:pPr>
              <w:rPr>
                <w:rFonts w:ascii="Arial" w:hAnsi="Arial" w:cs="Arial"/>
                <w:sz w:val="22"/>
                <w:szCs w:val="22"/>
                <w:lang w:eastAsia="zh-CN"/>
              </w:rPr>
            </w:pPr>
            <w:r w:rsidRPr="00C00012">
              <w:rPr>
                <w:rFonts w:ascii="Arial" w:hAnsi="Arial" w:cs="Arial"/>
                <w:sz w:val="22"/>
                <w:szCs w:val="22"/>
                <w:lang w:eastAsia="zh-CN"/>
              </w:rPr>
              <w:t>Non-attendance at educational programme</w:t>
            </w:r>
          </w:p>
          <w:p w:rsidR="00135B6E" w:rsidRPr="00C00012" w:rsidRDefault="00135B6E" w:rsidP="00135B6E">
            <w:pPr>
              <w:rPr>
                <w:rFonts w:ascii="Arial" w:hAnsi="Arial" w:cs="Arial"/>
                <w:sz w:val="22"/>
                <w:szCs w:val="22"/>
                <w:lang w:eastAsia="zh-CN"/>
              </w:rPr>
            </w:pPr>
          </w:p>
          <w:p w:rsidR="00135B6E" w:rsidRPr="00C00012" w:rsidRDefault="00135B6E" w:rsidP="00135B6E">
            <w:pPr>
              <w:rPr>
                <w:rFonts w:ascii="Arial" w:hAnsi="Arial" w:cs="Arial"/>
                <w:sz w:val="22"/>
                <w:szCs w:val="22"/>
                <w:lang w:eastAsia="zh-CN"/>
              </w:rPr>
            </w:pPr>
            <w:r w:rsidRPr="00C00012">
              <w:rPr>
                <w:rFonts w:ascii="Arial" w:hAnsi="Arial" w:cs="Arial"/>
                <w:sz w:val="22"/>
                <w:szCs w:val="22"/>
                <w:lang w:eastAsia="zh-CN"/>
              </w:rPr>
              <w:t>Educational portfolio not up to date</w:t>
            </w:r>
          </w:p>
          <w:p w:rsidR="00135B6E" w:rsidRPr="00C00012" w:rsidRDefault="00135B6E" w:rsidP="00135B6E">
            <w:pPr>
              <w:rPr>
                <w:rFonts w:ascii="Arial" w:hAnsi="Arial" w:cs="Arial"/>
                <w:sz w:val="22"/>
                <w:szCs w:val="22"/>
                <w:lang w:eastAsia="zh-CN"/>
              </w:rPr>
            </w:pPr>
          </w:p>
          <w:p w:rsidR="00135B6E" w:rsidRPr="00C00012" w:rsidRDefault="00135B6E" w:rsidP="00135B6E">
            <w:pPr>
              <w:rPr>
                <w:rFonts w:ascii="Arial" w:hAnsi="Arial" w:cs="Arial"/>
                <w:sz w:val="22"/>
                <w:szCs w:val="22"/>
                <w:lang w:eastAsia="zh-CN"/>
              </w:rPr>
            </w:pPr>
            <w:r w:rsidRPr="00C00012">
              <w:rPr>
                <w:rFonts w:ascii="Arial" w:hAnsi="Arial" w:cs="Arial"/>
                <w:sz w:val="22"/>
                <w:szCs w:val="22"/>
                <w:lang w:eastAsia="zh-CN"/>
              </w:rPr>
              <w:t>Some incidents of arriving late</w:t>
            </w:r>
          </w:p>
          <w:p w:rsidR="00135B6E" w:rsidRPr="00C00012" w:rsidRDefault="00135B6E" w:rsidP="00135B6E">
            <w:pPr>
              <w:rPr>
                <w:rFonts w:ascii="Arial" w:hAnsi="Arial" w:cs="Arial"/>
                <w:sz w:val="22"/>
                <w:szCs w:val="22"/>
                <w:lang w:eastAsia="zh-CN"/>
              </w:rPr>
            </w:pPr>
          </w:p>
          <w:p w:rsidR="00135B6E" w:rsidRPr="00C00012" w:rsidRDefault="00135B6E" w:rsidP="00135B6E">
            <w:pPr>
              <w:rPr>
                <w:rFonts w:ascii="Arial" w:hAnsi="Arial" w:cs="Arial"/>
                <w:sz w:val="22"/>
                <w:szCs w:val="22"/>
                <w:lang w:eastAsia="zh-CN"/>
              </w:rPr>
            </w:pPr>
            <w:r w:rsidRPr="00C00012">
              <w:rPr>
                <w:rFonts w:ascii="Arial" w:hAnsi="Arial" w:cs="Arial"/>
                <w:sz w:val="22"/>
                <w:szCs w:val="22"/>
                <w:lang w:eastAsia="zh-CN"/>
              </w:rPr>
              <w:t>Unavailable on occasions when bleep required</w:t>
            </w:r>
          </w:p>
          <w:p w:rsidR="00135B6E" w:rsidRPr="00C00012" w:rsidRDefault="00135B6E" w:rsidP="00135B6E">
            <w:pPr>
              <w:spacing w:line="360" w:lineRule="auto"/>
              <w:rPr>
                <w:rFonts w:ascii="Arial" w:hAnsi="Arial" w:cs="Arial"/>
                <w:sz w:val="22"/>
                <w:szCs w:val="22"/>
                <w:lang w:eastAsia="zh-CN"/>
              </w:rPr>
            </w:pPr>
          </w:p>
        </w:tc>
        <w:tc>
          <w:tcPr>
            <w:tcW w:w="7096" w:type="dxa"/>
            <w:gridSpan w:val="2"/>
            <w:tcBorders>
              <w:left w:val="dashed" w:sz="4" w:space="0" w:color="auto"/>
            </w:tcBorders>
            <w:shd w:val="clear" w:color="auto" w:fill="99CCFF"/>
          </w:tcPr>
          <w:p w:rsidR="00135B6E" w:rsidRPr="00C00012" w:rsidRDefault="00135B6E" w:rsidP="00135B6E">
            <w:pPr>
              <w:jc w:val="center"/>
              <w:rPr>
                <w:rFonts w:ascii="Arial" w:hAnsi="Arial" w:cs="Arial"/>
                <w:sz w:val="22"/>
                <w:szCs w:val="22"/>
                <w:lang w:eastAsia="zh-CN"/>
              </w:rPr>
            </w:pPr>
          </w:p>
          <w:p w:rsidR="00135B6E" w:rsidRPr="00C00012" w:rsidRDefault="00135B6E" w:rsidP="00135B6E">
            <w:pPr>
              <w:jc w:val="center"/>
              <w:rPr>
                <w:rFonts w:ascii="Arial" w:hAnsi="Arial" w:cs="Arial"/>
                <w:sz w:val="22"/>
                <w:szCs w:val="22"/>
                <w:lang w:eastAsia="zh-CN"/>
              </w:rPr>
            </w:pPr>
          </w:p>
          <w:p w:rsidR="00135B6E" w:rsidRPr="00C00012" w:rsidRDefault="00135B6E" w:rsidP="00135B6E">
            <w:pPr>
              <w:jc w:val="center"/>
              <w:rPr>
                <w:rFonts w:ascii="Arial" w:hAnsi="Arial" w:cs="Arial"/>
                <w:sz w:val="22"/>
                <w:szCs w:val="22"/>
                <w:lang w:eastAsia="zh-CN"/>
              </w:rPr>
            </w:pPr>
          </w:p>
          <w:p w:rsidR="00135B6E" w:rsidRPr="00C00012" w:rsidRDefault="00135B6E" w:rsidP="00135B6E">
            <w:pPr>
              <w:jc w:val="center"/>
              <w:rPr>
                <w:rFonts w:ascii="Arial" w:hAnsi="Arial" w:cs="Arial"/>
                <w:sz w:val="22"/>
                <w:szCs w:val="22"/>
                <w:lang w:eastAsia="zh-CN"/>
              </w:rPr>
            </w:pPr>
          </w:p>
          <w:p w:rsidR="00135B6E" w:rsidRPr="00C00012" w:rsidRDefault="00135B6E" w:rsidP="00135B6E">
            <w:pPr>
              <w:jc w:val="center"/>
              <w:rPr>
                <w:rFonts w:ascii="Arial" w:hAnsi="Arial" w:cs="Arial"/>
                <w:sz w:val="22"/>
                <w:szCs w:val="22"/>
                <w:lang w:eastAsia="zh-CN"/>
              </w:rPr>
            </w:pPr>
            <w:r w:rsidRPr="00C00012">
              <w:rPr>
                <w:rFonts w:ascii="Arial" w:hAnsi="Arial" w:cs="Arial"/>
                <w:sz w:val="22"/>
                <w:szCs w:val="22"/>
                <w:lang w:eastAsia="zh-CN"/>
              </w:rPr>
              <w:t>Serious Untoward Incidents</w:t>
            </w:r>
          </w:p>
          <w:p w:rsidR="00135B6E" w:rsidRPr="00C00012" w:rsidRDefault="00135B6E" w:rsidP="00135B6E">
            <w:pPr>
              <w:jc w:val="center"/>
              <w:rPr>
                <w:rFonts w:ascii="Arial" w:hAnsi="Arial" w:cs="Arial"/>
                <w:sz w:val="22"/>
                <w:szCs w:val="22"/>
                <w:lang w:eastAsia="zh-CN"/>
              </w:rPr>
            </w:pPr>
          </w:p>
          <w:p w:rsidR="00135B6E" w:rsidRPr="00C00012" w:rsidRDefault="00135B6E" w:rsidP="00135B6E">
            <w:pPr>
              <w:jc w:val="center"/>
              <w:rPr>
                <w:rFonts w:ascii="Arial" w:hAnsi="Arial" w:cs="Arial"/>
                <w:sz w:val="22"/>
                <w:szCs w:val="22"/>
                <w:lang w:eastAsia="zh-CN"/>
              </w:rPr>
            </w:pPr>
            <w:r w:rsidRPr="00C00012">
              <w:rPr>
                <w:rFonts w:ascii="Arial" w:hAnsi="Arial" w:cs="Arial"/>
                <w:sz w:val="22"/>
                <w:szCs w:val="22"/>
                <w:lang w:eastAsia="zh-CN"/>
              </w:rPr>
              <w:t>Undue absence from the workplace</w:t>
            </w:r>
          </w:p>
          <w:p w:rsidR="00135B6E" w:rsidRPr="00C00012" w:rsidRDefault="00135B6E" w:rsidP="00135B6E">
            <w:pPr>
              <w:jc w:val="center"/>
              <w:rPr>
                <w:rFonts w:ascii="Arial" w:hAnsi="Arial" w:cs="Arial"/>
                <w:sz w:val="22"/>
                <w:szCs w:val="22"/>
                <w:lang w:eastAsia="zh-CN"/>
              </w:rPr>
            </w:pPr>
          </w:p>
          <w:p w:rsidR="00135B6E" w:rsidRPr="00C00012" w:rsidRDefault="00135B6E" w:rsidP="00135B6E">
            <w:pPr>
              <w:jc w:val="center"/>
              <w:rPr>
                <w:rFonts w:ascii="Arial" w:hAnsi="Arial" w:cs="Arial"/>
                <w:sz w:val="22"/>
                <w:szCs w:val="22"/>
                <w:lang w:eastAsia="zh-CN"/>
              </w:rPr>
            </w:pPr>
            <w:r w:rsidRPr="00C00012">
              <w:rPr>
                <w:rFonts w:ascii="Arial" w:hAnsi="Arial" w:cs="Arial"/>
                <w:sz w:val="22"/>
                <w:szCs w:val="22"/>
                <w:lang w:eastAsia="zh-CN"/>
              </w:rPr>
              <w:t>Complaints from patients, relatives or healthcare professionals</w:t>
            </w:r>
            <w:r w:rsidRPr="00C00012">
              <w:rPr>
                <w:rFonts w:ascii="Arial" w:hAnsi="Arial" w:cs="Arial"/>
                <w:sz w:val="22"/>
                <w:szCs w:val="22"/>
                <w:lang w:eastAsia="zh-CN"/>
              </w:rPr>
              <w:br/>
            </w:r>
            <w:r w:rsidRPr="00C00012">
              <w:rPr>
                <w:rFonts w:ascii="Arial" w:hAnsi="Arial" w:cs="Arial"/>
                <w:sz w:val="22"/>
                <w:szCs w:val="22"/>
                <w:lang w:eastAsia="zh-CN"/>
              </w:rPr>
              <w:br/>
              <w:t>Poor performance in the workplace clinically, managerially or inter-personally.</w:t>
            </w:r>
          </w:p>
          <w:p w:rsidR="00135B6E" w:rsidRPr="00C00012" w:rsidRDefault="00135B6E" w:rsidP="00135B6E">
            <w:pPr>
              <w:jc w:val="center"/>
              <w:rPr>
                <w:rFonts w:ascii="Arial" w:hAnsi="Arial" w:cs="Arial"/>
                <w:sz w:val="22"/>
                <w:szCs w:val="22"/>
                <w:lang w:eastAsia="zh-CN"/>
              </w:rPr>
            </w:pPr>
          </w:p>
          <w:p w:rsidR="00135B6E" w:rsidRPr="00C00012" w:rsidRDefault="00135B6E" w:rsidP="00135B6E">
            <w:pPr>
              <w:jc w:val="center"/>
              <w:rPr>
                <w:rFonts w:ascii="Arial" w:hAnsi="Arial" w:cs="Arial"/>
                <w:sz w:val="22"/>
                <w:szCs w:val="22"/>
                <w:lang w:eastAsia="zh-CN"/>
              </w:rPr>
            </w:pPr>
            <w:r w:rsidRPr="00C00012">
              <w:rPr>
                <w:rFonts w:ascii="Arial" w:hAnsi="Arial" w:cs="Arial"/>
                <w:sz w:val="22"/>
                <w:szCs w:val="22"/>
                <w:lang w:eastAsia="zh-CN"/>
              </w:rPr>
              <w:t>Failure to engage in the educational process</w:t>
            </w:r>
          </w:p>
          <w:p w:rsidR="00135B6E" w:rsidRPr="00C00012" w:rsidRDefault="00135B6E" w:rsidP="00135B6E">
            <w:pPr>
              <w:jc w:val="center"/>
              <w:rPr>
                <w:rFonts w:ascii="Arial" w:hAnsi="Arial" w:cs="Arial"/>
                <w:sz w:val="22"/>
                <w:szCs w:val="22"/>
                <w:lang w:eastAsia="zh-CN"/>
              </w:rPr>
            </w:pPr>
          </w:p>
          <w:p w:rsidR="00135B6E" w:rsidRPr="00C00012" w:rsidRDefault="00135B6E" w:rsidP="00135B6E">
            <w:pPr>
              <w:jc w:val="center"/>
              <w:rPr>
                <w:rFonts w:ascii="Arial" w:hAnsi="Arial" w:cs="Arial"/>
                <w:sz w:val="22"/>
                <w:szCs w:val="22"/>
                <w:lang w:eastAsia="zh-CN"/>
              </w:rPr>
            </w:pPr>
            <w:r w:rsidRPr="00C00012">
              <w:rPr>
                <w:rFonts w:ascii="Arial" w:hAnsi="Arial" w:cs="Arial"/>
                <w:sz w:val="22"/>
                <w:szCs w:val="22"/>
                <w:lang w:eastAsia="zh-CN"/>
              </w:rPr>
              <w:t>Erratic behaviour or issues around bullying or harassment.</w:t>
            </w:r>
          </w:p>
          <w:p w:rsidR="00135B6E" w:rsidRPr="00C00012" w:rsidRDefault="00135B6E" w:rsidP="00135B6E">
            <w:pPr>
              <w:jc w:val="center"/>
              <w:rPr>
                <w:rFonts w:ascii="Arial" w:hAnsi="Arial" w:cs="Arial"/>
                <w:sz w:val="22"/>
                <w:szCs w:val="22"/>
                <w:lang w:eastAsia="zh-CN"/>
              </w:rPr>
            </w:pPr>
          </w:p>
        </w:tc>
      </w:tr>
    </w:tbl>
    <w:p w:rsidR="00135B6E" w:rsidRPr="00C00012" w:rsidRDefault="00135B6E" w:rsidP="00135B6E">
      <w:pPr>
        <w:rPr>
          <w:rFonts w:ascii="Arial" w:hAnsi="Arial" w:cs="Arial"/>
          <w:sz w:val="22"/>
          <w:szCs w:val="22"/>
          <w:lang w:eastAsia="en-GB"/>
        </w:rPr>
      </w:pPr>
    </w:p>
    <w:p w:rsidR="00135B6E" w:rsidRPr="00C00012" w:rsidRDefault="00135B6E" w:rsidP="00135B6E">
      <w:pPr>
        <w:autoSpaceDE w:val="0"/>
        <w:autoSpaceDN w:val="0"/>
        <w:adjustRightInd w:val="0"/>
        <w:rPr>
          <w:rFonts w:ascii="Arial" w:hAnsi="Arial" w:cs="Arial"/>
          <w:sz w:val="22"/>
          <w:szCs w:val="22"/>
          <w:lang w:val="en-US" w:eastAsia="en-GB"/>
        </w:rPr>
      </w:pPr>
    </w:p>
    <w:p w:rsidR="00480248" w:rsidRPr="00C00012" w:rsidRDefault="00480248" w:rsidP="00135B6E">
      <w:pPr>
        <w:autoSpaceDE w:val="0"/>
        <w:autoSpaceDN w:val="0"/>
        <w:adjustRightInd w:val="0"/>
        <w:rPr>
          <w:rFonts w:ascii="Arial" w:hAnsi="Arial" w:cs="Arial"/>
          <w:sz w:val="22"/>
          <w:szCs w:val="22"/>
          <w:lang w:val="en-US" w:eastAsia="en-GB"/>
        </w:rPr>
      </w:pPr>
    </w:p>
    <w:p w:rsidR="00135B6E" w:rsidRPr="00C00012" w:rsidRDefault="00135B6E" w:rsidP="00135B6E">
      <w:pPr>
        <w:autoSpaceDE w:val="0"/>
        <w:autoSpaceDN w:val="0"/>
        <w:adjustRightInd w:val="0"/>
        <w:rPr>
          <w:rFonts w:ascii="Arial" w:hAnsi="Arial" w:cs="Arial"/>
          <w:sz w:val="22"/>
          <w:szCs w:val="22"/>
          <w:lang w:eastAsia="en-GB"/>
        </w:rPr>
      </w:pPr>
      <w:r w:rsidRPr="00C00012">
        <w:rPr>
          <w:rFonts w:ascii="Arial" w:hAnsi="Arial" w:cs="Arial"/>
          <w:sz w:val="22"/>
          <w:szCs w:val="22"/>
          <w:lang w:val="en-US" w:eastAsia="en-GB"/>
        </w:rPr>
        <w:t xml:space="preserve">Different problems will require differing solutions. For example, ill health will require the involvement of occupational health and / or the trainee’s GP; while unprofessional </w:t>
      </w:r>
      <w:r w:rsidRPr="00C00012">
        <w:rPr>
          <w:rFonts w:ascii="Arial" w:hAnsi="Arial" w:cs="Arial"/>
          <w:sz w:val="22"/>
          <w:szCs w:val="22"/>
          <w:lang w:eastAsia="en-GB"/>
        </w:rPr>
        <w:t>behaviour</w:t>
      </w:r>
      <w:r w:rsidRPr="00C00012">
        <w:rPr>
          <w:rFonts w:ascii="Arial" w:hAnsi="Arial" w:cs="Arial"/>
          <w:sz w:val="22"/>
          <w:szCs w:val="22"/>
          <w:lang w:val="en-US" w:eastAsia="en-GB"/>
        </w:rPr>
        <w:t xml:space="preserve"> may require </w:t>
      </w:r>
      <w:r w:rsidRPr="00C00012">
        <w:rPr>
          <w:rFonts w:ascii="Arial" w:hAnsi="Arial" w:cs="Arial"/>
          <w:sz w:val="22"/>
          <w:szCs w:val="22"/>
          <w:lang w:eastAsia="en-GB"/>
        </w:rPr>
        <w:t xml:space="preserve">supportive mentoring, close clinical supervision and feedback to address and change the beliefs behind the undesired behaviour or may involve disciplinary action by the employing authority / referral to the GMC. </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In all instances it is also essential that local processes for managing doctors requiring professional support are followed, and advice from Human Resources and Occupational Health is sought early.</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 xml:space="preserve">It is essential that facts are gathered and communicated to the trainee in a supportive, open way.  It is recommended that this occurs in progress review meetings with the trainee’s Educational Supervisor.   Meetings must be documented with a copy sent to the trainee. </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b/>
          <w:sz w:val="22"/>
          <w:szCs w:val="22"/>
          <w:lang w:eastAsia="en-GB"/>
        </w:rPr>
      </w:pPr>
      <w:r w:rsidRPr="00C00012">
        <w:rPr>
          <w:rFonts w:ascii="Arial" w:hAnsi="Arial" w:cs="Arial"/>
          <w:b/>
          <w:sz w:val="22"/>
          <w:szCs w:val="22"/>
          <w:lang w:eastAsia="en-GB"/>
        </w:rPr>
        <w:t>Overview of Process</w:t>
      </w:r>
    </w:p>
    <w:p w:rsidR="00135B6E" w:rsidRPr="00C00012" w:rsidRDefault="00135B6E" w:rsidP="00135B6E">
      <w:pPr>
        <w:rPr>
          <w:rFonts w:ascii="Arial" w:hAnsi="Arial" w:cs="Arial"/>
          <w:b/>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The flowchart below gives an overview of processes across the three levels of concern. The trainee may enter the process at any level and may move between levels, particularly needing escalation if there are repeated incidents or the issues remain unresolved. Early recognition of concerns can help to avoid the need for escalation.</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The ARCP process is the regulatory framework for assessment of progress in training and may trigger the requirement for additional support, escalate the level of concern, or be informed by processes put in place to provide support for a trainee who is giving cause for concern.</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 xml:space="preserve">All information concerning sharing of information about progress or conduct of a trainee will be dealt with through the Transfer of Information policy. </w:t>
      </w: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color w:val="000000"/>
          <w:sz w:val="22"/>
          <w:szCs w:val="22"/>
          <w:u w:val="single"/>
          <w:lang w:eastAsia="en-GB"/>
        </w:rPr>
      </w:pPr>
      <w:r w:rsidRPr="00C00012">
        <w:rPr>
          <w:rFonts w:ascii="Arial" w:hAnsi="Arial" w:cs="Arial"/>
          <w:i/>
          <w:color w:val="000000"/>
          <w:sz w:val="22"/>
          <w:szCs w:val="22"/>
          <w:lang w:eastAsia="en-GB"/>
        </w:rPr>
        <w:t>(Reproduced with kind permission of Wessex HEE)</w:t>
      </w:r>
    </w:p>
    <w:p w:rsidR="00135B6E" w:rsidRPr="00C00012" w:rsidRDefault="00135B6E" w:rsidP="00135B6E">
      <w:pPr>
        <w:rPr>
          <w:rFonts w:ascii="Arial" w:hAnsi="Arial" w:cs="Arial"/>
          <w:color w:val="000000"/>
          <w:sz w:val="22"/>
          <w:szCs w:val="22"/>
          <w:u w:val="single"/>
          <w:lang w:eastAsia="en-GB"/>
        </w:rPr>
      </w:pPr>
      <w:r w:rsidRPr="00C00012">
        <w:rPr>
          <w:rFonts w:ascii="Arial" w:hAnsi="Arial" w:cs="Arial"/>
          <w:noProof/>
          <w:sz w:val="22"/>
          <w:szCs w:val="22"/>
          <w:lang w:eastAsia="en-GB"/>
        </w:rPr>
        <w:lastRenderedPageBreak/>
        <w:drawing>
          <wp:anchor distT="0" distB="0" distL="114300" distR="114300" simplePos="0" relativeHeight="251662336" behindDoc="1" locked="0" layoutInCell="1" allowOverlap="1" wp14:anchorId="343436F5" wp14:editId="522D1F2F">
            <wp:simplePos x="0" y="0"/>
            <wp:positionH relativeFrom="column">
              <wp:posOffset>-212725</wp:posOffset>
            </wp:positionH>
            <wp:positionV relativeFrom="paragraph">
              <wp:posOffset>102235</wp:posOffset>
            </wp:positionV>
            <wp:extent cx="6995795" cy="8298180"/>
            <wp:effectExtent l="0" t="0" r="0" b="7620"/>
            <wp:wrapTight wrapText="bothSides">
              <wp:wrapPolygon edited="0">
                <wp:start x="0" y="0"/>
                <wp:lineTo x="0" y="7041"/>
                <wp:lineTo x="2588" y="7190"/>
                <wp:lineTo x="0" y="7438"/>
                <wp:lineTo x="0" y="13488"/>
                <wp:lineTo x="3882" y="13537"/>
                <wp:lineTo x="0" y="13884"/>
                <wp:lineTo x="0" y="21372"/>
                <wp:lineTo x="10352" y="21570"/>
                <wp:lineTo x="13116" y="21570"/>
                <wp:lineTo x="16057" y="21471"/>
                <wp:lineTo x="21527" y="20975"/>
                <wp:lineTo x="21527" y="16165"/>
                <wp:lineTo x="21175" y="16116"/>
                <wp:lineTo x="18587" y="15917"/>
                <wp:lineTo x="20704" y="15917"/>
                <wp:lineTo x="21527" y="15719"/>
                <wp:lineTo x="21527" y="13884"/>
                <wp:lineTo x="20822" y="13884"/>
                <wp:lineTo x="8235" y="13537"/>
                <wp:lineTo x="13587" y="13537"/>
                <wp:lineTo x="14940" y="13388"/>
                <wp:lineTo x="14940" y="11256"/>
                <wp:lineTo x="14646" y="11157"/>
                <wp:lineTo x="14293" y="11157"/>
                <wp:lineTo x="19586" y="10562"/>
                <wp:lineTo x="19645" y="6843"/>
                <wp:lineTo x="18469" y="6744"/>
                <wp:lineTo x="13234" y="6397"/>
                <wp:lineTo x="13234" y="5603"/>
                <wp:lineTo x="12117" y="4810"/>
                <wp:lineTo x="13175" y="4810"/>
                <wp:lineTo x="16646" y="4215"/>
                <wp:lineTo x="16763" y="1488"/>
                <wp:lineTo x="5470" y="843"/>
                <wp:lineTo x="5411" y="0"/>
                <wp:lineTo x="0" y="0"/>
              </wp:wrapPolygon>
            </wp:wrapTight>
            <wp:docPr id="2" name="Picture 2" descr="Flow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owchar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5795" cy="8298180"/>
                    </a:xfrm>
                    <a:prstGeom prst="rect">
                      <a:avLst/>
                    </a:prstGeom>
                    <a:noFill/>
                  </pic:spPr>
                </pic:pic>
              </a:graphicData>
            </a:graphic>
            <wp14:sizeRelH relativeFrom="page">
              <wp14:pctWidth>0</wp14:pctWidth>
            </wp14:sizeRelH>
            <wp14:sizeRelV relativeFrom="page">
              <wp14:pctHeight>0</wp14:pctHeight>
            </wp14:sizeRelV>
          </wp:anchor>
        </w:drawing>
      </w:r>
    </w:p>
    <w:p w:rsidR="00135B6E" w:rsidRPr="00C00012" w:rsidRDefault="00135B6E" w:rsidP="00135B6E">
      <w:pPr>
        <w:rPr>
          <w:rFonts w:ascii="Arial" w:hAnsi="Arial" w:cs="Arial"/>
          <w:color w:val="000000"/>
          <w:sz w:val="22"/>
          <w:szCs w:val="22"/>
          <w:u w:val="single"/>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rPr>
          <w:rFonts w:ascii="Arial" w:hAnsi="Arial" w:cs="Arial"/>
          <w:i/>
          <w:color w:val="000000"/>
          <w:sz w:val="22"/>
          <w:szCs w:val="22"/>
          <w:lang w:eastAsia="en-GB"/>
        </w:rPr>
      </w:pPr>
    </w:p>
    <w:p w:rsidR="00135B6E" w:rsidRPr="00C00012" w:rsidRDefault="00135B6E" w:rsidP="00135B6E">
      <w:pPr>
        <w:numPr>
          <w:ilvl w:val="0"/>
          <w:numId w:val="14"/>
        </w:numPr>
        <w:ind w:left="426" w:hanging="426"/>
        <w:rPr>
          <w:rFonts w:ascii="Arial" w:hAnsi="Arial" w:cs="Arial"/>
          <w:b/>
          <w:color w:val="000000"/>
          <w:sz w:val="22"/>
          <w:szCs w:val="22"/>
          <w:lang w:eastAsia="en-GB"/>
        </w:rPr>
      </w:pPr>
      <w:r w:rsidRPr="00C00012">
        <w:rPr>
          <w:rFonts w:ascii="Arial" w:hAnsi="Arial" w:cs="Arial"/>
          <w:b/>
          <w:color w:val="000000"/>
          <w:sz w:val="22"/>
          <w:szCs w:val="22"/>
          <w:lang w:eastAsia="en-GB"/>
        </w:rPr>
        <w:br w:type="page"/>
      </w:r>
      <w:r w:rsidRPr="00C00012">
        <w:rPr>
          <w:rFonts w:ascii="Arial" w:hAnsi="Arial" w:cs="Arial"/>
          <w:b/>
          <w:color w:val="000000"/>
          <w:sz w:val="22"/>
          <w:szCs w:val="22"/>
          <w:lang w:eastAsia="en-GB"/>
        </w:rPr>
        <w:lastRenderedPageBreak/>
        <w:t>Principles of Support</w:t>
      </w:r>
    </w:p>
    <w:p w:rsidR="00135B6E" w:rsidRPr="00C00012" w:rsidRDefault="00135B6E" w:rsidP="00135B6E">
      <w:pPr>
        <w:rPr>
          <w:rFonts w:ascii="Arial" w:hAnsi="Arial" w:cs="Arial"/>
          <w:b/>
          <w:color w:val="000000"/>
          <w:sz w:val="22"/>
          <w:szCs w:val="22"/>
          <w:u w:val="single"/>
          <w:lang w:eastAsia="en-GB"/>
        </w:rPr>
      </w:pPr>
    </w:p>
    <w:p w:rsidR="00135B6E" w:rsidRPr="00C00012" w:rsidRDefault="00135B6E" w:rsidP="00135B6E">
      <w:pPr>
        <w:jc w:val="both"/>
        <w:rPr>
          <w:rFonts w:ascii="Arial" w:hAnsi="Arial" w:cs="Arial"/>
          <w:color w:val="000000"/>
          <w:sz w:val="22"/>
          <w:szCs w:val="22"/>
          <w:lang w:eastAsia="en-GB"/>
        </w:rPr>
      </w:pPr>
      <w:r w:rsidRPr="00C00012">
        <w:rPr>
          <w:rFonts w:ascii="Arial" w:hAnsi="Arial" w:cs="Arial"/>
          <w:color w:val="000000"/>
          <w:sz w:val="22"/>
          <w:szCs w:val="22"/>
          <w:lang w:eastAsia="en-GB"/>
        </w:rPr>
        <w:t xml:space="preserve">Regardless of the level of concern, the following set out the principles for professional support: </w:t>
      </w:r>
    </w:p>
    <w:p w:rsidR="00135B6E" w:rsidRPr="00C00012" w:rsidRDefault="00135B6E" w:rsidP="00135B6E">
      <w:pPr>
        <w:jc w:val="both"/>
        <w:rPr>
          <w:rFonts w:ascii="Arial" w:hAnsi="Arial" w:cs="Arial"/>
          <w:color w:val="000000"/>
          <w:sz w:val="22"/>
          <w:szCs w:val="22"/>
          <w:lang w:eastAsia="en-GB"/>
        </w:rPr>
      </w:pPr>
    </w:p>
    <w:p w:rsidR="00135B6E" w:rsidRPr="00C00012" w:rsidRDefault="00135B6E" w:rsidP="00135B6E">
      <w:pPr>
        <w:numPr>
          <w:ilvl w:val="0"/>
          <w:numId w:val="15"/>
        </w:numPr>
        <w:spacing w:line="360" w:lineRule="auto"/>
        <w:jc w:val="both"/>
        <w:rPr>
          <w:rFonts w:ascii="Arial" w:hAnsi="Arial" w:cs="Arial"/>
          <w:sz w:val="22"/>
          <w:szCs w:val="22"/>
          <w:lang w:eastAsia="en-GB"/>
        </w:rPr>
      </w:pPr>
      <w:r w:rsidRPr="00C00012">
        <w:rPr>
          <w:rFonts w:ascii="Arial" w:hAnsi="Arial" w:cs="Arial"/>
          <w:sz w:val="22"/>
          <w:szCs w:val="22"/>
          <w:lang w:eastAsia="en-GB"/>
        </w:rPr>
        <w:t>Transparent and understood by all</w:t>
      </w:r>
    </w:p>
    <w:p w:rsidR="00135B6E" w:rsidRPr="00C00012" w:rsidRDefault="00135B6E" w:rsidP="00135B6E">
      <w:pPr>
        <w:numPr>
          <w:ilvl w:val="0"/>
          <w:numId w:val="15"/>
        </w:numPr>
        <w:spacing w:line="360" w:lineRule="auto"/>
        <w:jc w:val="both"/>
        <w:rPr>
          <w:rFonts w:ascii="Arial" w:hAnsi="Arial" w:cs="Arial"/>
          <w:sz w:val="22"/>
          <w:szCs w:val="22"/>
          <w:lang w:eastAsia="en-GB"/>
        </w:rPr>
      </w:pPr>
      <w:r w:rsidRPr="00C00012">
        <w:rPr>
          <w:rFonts w:ascii="Arial" w:hAnsi="Arial" w:cs="Arial"/>
          <w:sz w:val="22"/>
          <w:szCs w:val="22"/>
          <w:lang w:eastAsia="en-GB"/>
        </w:rPr>
        <w:t>Evidence based</w:t>
      </w:r>
    </w:p>
    <w:p w:rsidR="00135B6E" w:rsidRPr="00C00012" w:rsidRDefault="00135B6E" w:rsidP="00135B6E">
      <w:pPr>
        <w:numPr>
          <w:ilvl w:val="0"/>
          <w:numId w:val="15"/>
        </w:numPr>
        <w:spacing w:line="360" w:lineRule="auto"/>
        <w:jc w:val="both"/>
        <w:rPr>
          <w:rFonts w:ascii="Arial" w:hAnsi="Arial" w:cs="Arial"/>
          <w:sz w:val="22"/>
          <w:szCs w:val="22"/>
          <w:lang w:eastAsia="en-GB"/>
        </w:rPr>
      </w:pPr>
      <w:r w:rsidRPr="00C00012">
        <w:rPr>
          <w:rFonts w:ascii="Arial" w:hAnsi="Arial" w:cs="Arial"/>
          <w:sz w:val="22"/>
          <w:szCs w:val="22"/>
          <w:lang w:eastAsia="en-GB"/>
        </w:rPr>
        <w:t>Clear criteria for assessment and decisions</w:t>
      </w:r>
    </w:p>
    <w:p w:rsidR="00135B6E" w:rsidRPr="00C00012" w:rsidRDefault="00135B6E" w:rsidP="00135B6E">
      <w:pPr>
        <w:numPr>
          <w:ilvl w:val="0"/>
          <w:numId w:val="15"/>
        </w:numPr>
        <w:spacing w:line="360" w:lineRule="auto"/>
        <w:jc w:val="both"/>
        <w:rPr>
          <w:rFonts w:ascii="Arial" w:hAnsi="Arial" w:cs="Arial"/>
          <w:sz w:val="22"/>
          <w:szCs w:val="22"/>
          <w:lang w:eastAsia="en-GB"/>
        </w:rPr>
      </w:pPr>
      <w:r w:rsidRPr="00C00012">
        <w:rPr>
          <w:rFonts w:ascii="Arial" w:hAnsi="Arial" w:cs="Arial"/>
          <w:sz w:val="22"/>
          <w:szCs w:val="22"/>
          <w:lang w:eastAsia="en-GB"/>
        </w:rPr>
        <w:t>Consistent application of guidelines and process</w:t>
      </w:r>
    </w:p>
    <w:p w:rsidR="00135B6E" w:rsidRPr="00C00012" w:rsidRDefault="00135B6E" w:rsidP="00135B6E">
      <w:pPr>
        <w:numPr>
          <w:ilvl w:val="0"/>
          <w:numId w:val="15"/>
        </w:numPr>
        <w:spacing w:line="360" w:lineRule="auto"/>
        <w:jc w:val="both"/>
        <w:rPr>
          <w:rFonts w:ascii="Arial" w:hAnsi="Arial" w:cs="Arial"/>
          <w:sz w:val="22"/>
          <w:szCs w:val="22"/>
          <w:lang w:eastAsia="en-GB"/>
        </w:rPr>
      </w:pPr>
      <w:r w:rsidRPr="00C00012">
        <w:rPr>
          <w:rFonts w:ascii="Arial" w:hAnsi="Arial" w:cs="Arial"/>
          <w:sz w:val="22"/>
          <w:szCs w:val="22"/>
          <w:lang w:eastAsia="en-GB"/>
        </w:rPr>
        <w:t>A culture of support and development</w:t>
      </w:r>
    </w:p>
    <w:p w:rsidR="00135B6E" w:rsidRPr="00C00012" w:rsidRDefault="00135B6E" w:rsidP="00135B6E">
      <w:pPr>
        <w:numPr>
          <w:ilvl w:val="0"/>
          <w:numId w:val="15"/>
        </w:numPr>
        <w:spacing w:line="360" w:lineRule="auto"/>
        <w:jc w:val="both"/>
        <w:rPr>
          <w:rFonts w:ascii="Arial" w:hAnsi="Arial" w:cs="Arial"/>
          <w:sz w:val="22"/>
          <w:szCs w:val="22"/>
          <w:lang w:eastAsia="en-GB"/>
        </w:rPr>
      </w:pPr>
      <w:r w:rsidRPr="00C00012">
        <w:rPr>
          <w:rFonts w:ascii="Arial" w:hAnsi="Arial" w:cs="Arial"/>
          <w:sz w:val="22"/>
          <w:szCs w:val="22"/>
          <w:lang w:eastAsia="en-GB"/>
        </w:rPr>
        <w:t>No compromise on patient care</w:t>
      </w:r>
    </w:p>
    <w:p w:rsidR="00135B6E" w:rsidRPr="00C00012" w:rsidRDefault="00135B6E" w:rsidP="00135B6E">
      <w:pPr>
        <w:numPr>
          <w:ilvl w:val="0"/>
          <w:numId w:val="15"/>
        </w:numPr>
        <w:spacing w:line="360" w:lineRule="auto"/>
        <w:jc w:val="both"/>
        <w:rPr>
          <w:rFonts w:ascii="Arial" w:hAnsi="Arial" w:cs="Arial"/>
          <w:sz w:val="22"/>
          <w:szCs w:val="22"/>
          <w:lang w:eastAsia="en-GB"/>
        </w:rPr>
      </w:pPr>
      <w:r w:rsidRPr="00C00012">
        <w:rPr>
          <w:rFonts w:ascii="Arial" w:hAnsi="Arial" w:cs="Arial"/>
          <w:sz w:val="22"/>
          <w:szCs w:val="22"/>
          <w:lang w:eastAsia="en-GB"/>
        </w:rPr>
        <w:t>Responsible use of funding and resources</w:t>
      </w:r>
    </w:p>
    <w:p w:rsidR="00135B6E" w:rsidRPr="00C00012" w:rsidRDefault="00135B6E" w:rsidP="00135B6E">
      <w:pPr>
        <w:rPr>
          <w:rFonts w:ascii="Arial" w:hAnsi="Arial" w:cs="Arial"/>
          <w:color w:val="000000"/>
          <w:sz w:val="22"/>
          <w:szCs w:val="22"/>
          <w:u w:val="single"/>
          <w:lang w:eastAsia="en-GB"/>
        </w:rPr>
      </w:pPr>
    </w:p>
    <w:p w:rsidR="00135B6E" w:rsidRPr="00C00012" w:rsidRDefault="00135B6E" w:rsidP="00135B6E">
      <w:pPr>
        <w:rPr>
          <w:rFonts w:ascii="Arial" w:hAnsi="Arial" w:cs="Arial"/>
          <w:b/>
          <w:color w:val="000000"/>
          <w:sz w:val="22"/>
          <w:szCs w:val="22"/>
          <w:lang w:eastAsia="en-GB"/>
        </w:rPr>
      </w:pPr>
      <w:r w:rsidRPr="00C00012">
        <w:rPr>
          <w:rFonts w:ascii="Arial" w:hAnsi="Arial" w:cs="Arial"/>
          <w:b/>
          <w:color w:val="000000"/>
          <w:sz w:val="22"/>
          <w:szCs w:val="22"/>
          <w:lang w:eastAsia="en-GB"/>
        </w:rPr>
        <w:t>Level 1 Concerns</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 xml:space="preserve">Where concerns are of a low level nature, the Educational and Clinical Supervisor, or for GPST in conjunction with the TPD, should discuss these with the trainee and document the discussion by completing the </w:t>
      </w:r>
      <w:r w:rsidR="005A2B31">
        <w:rPr>
          <w:rFonts w:ascii="Arial" w:hAnsi="Arial" w:cs="Arial"/>
          <w:sz w:val="22"/>
          <w:szCs w:val="22"/>
          <w:lang w:eastAsia="en-GB"/>
        </w:rPr>
        <w:t>Professional</w:t>
      </w:r>
      <w:r w:rsidRPr="00C00012">
        <w:rPr>
          <w:rFonts w:ascii="Arial" w:hAnsi="Arial" w:cs="Arial"/>
          <w:sz w:val="22"/>
          <w:szCs w:val="22"/>
          <w:lang w:eastAsia="en-GB"/>
        </w:rPr>
        <w:t xml:space="preserve"> Support Framework (Form 2).  Information regarding the concern and resolution must be recorded in the Educational Supervisor’s report.</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 xml:space="preserve">With early intervention, low level concerns will be resolved without further escalation. Where appropriate, careers support and/or input from Occupational Health may be of benefit However any concerns, even if resolved, should be documented and communicated through the Educational Supervisor’s report and e-portfolio for consideration by the trainee’s next ARCP panel. </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 xml:space="preserve">If the issue cannot be resolved informally the concern will be escalated to an intermediate or high level concern. </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b/>
          <w:color w:val="000000"/>
          <w:sz w:val="22"/>
          <w:szCs w:val="22"/>
          <w:lang w:eastAsia="en-GB"/>
        </w:rPr>
      </w:pPr>
      <w:r w:rsidRPr="00C00012">
        <w:rPr>
          <w:rFonts w:ascii="Arial" w:hAnsi="Arial" w:cs="Arial"/>
          <w:b/>
          <w:color w:val="000000"/>
          <w:sz w:val="22"/>
          <w:szCs w:val="22"/>
          <w:lang w:eastAsia="en-GB"/>
        </w:rPr>
        <w:t xml:space="preserve">Level 2 / Level 3 Concerns </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color w:val="000000"/>
          <w:sz w:val="22"/>
          <w:szCs w:val="22"/>
          <w:lang w:eastAsia="en-GB"/>
        </w:rPr>
      </w:pPr>
      <w:r w:rsidRPr="00C00012">
        <w:rPr>
          <w:rFonts w:ascii="Arial" w:hAnsi="Arial" w:cs="Arial"/>
          <w:color w:val="000000"/>
          <w:sz w:val="22"/>
          <w:szCs w:val="22"/>
          <w:lang w:eastAsia="en-GB"/>
        </w:rPr>
        <w:t xml:space="preserve">Where concerns are of an intermediate or serious nature, there should be an escalation of approach within both the Trust and the Postgraduate School (Foundation or Specialty). The </w:t>
      </w:r>
      <w:r w:rsidR="005A2B31">
        <w:rPr>
          <w:rFonts w:ascii="Arial" w:hAnsi="Arial" w:cs="Arial"/>
          <w:sz w:val="22"/>
          <w:szCs w:val="22"/>
          <w:lang w:eastAsia="en-GB"/>
        </w:rPr>
        <w:t>Professional</w:t>
      </w:r>
      <w:r w:rsidRPr="00C00012">
        <w:rPr>
          <w:rFonts w:ascii="Arial" w:hAnsi="Arial" w:cs="Arial"/>
          <w:sz w:val="22"/>
          <w:szCs w:val="22"/>
          <w:lang w:eastAsia="en-GB"/>
        </w:rPr>
        <w:t xml:space="preserve"> Support Framework (Form 2</w:t>
      </w:r>
      <w:r w:rsidRPr="00C00012">
        <w:rPr>
          <w:rFonts w:ascii="Arial" w:hAnsi="Arial" w:cs="Arial"/>
          <w:color w:val="000000"/>
          <w:sz w:val="22"/>
          <w:szCs w:val="22"/>
          <w:lang w:eastAsia="en-GB"/>
        </w:rPr>
        <w:t>) can be used to guide review and discussion with the trainee, and an action plan with timescales and measurable objectives should be put in place. Further review to assess progress should be planned.</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color w:val="000000"/>
          <w:sz w:val="22"/>
          <w:szCs w:val="22"/>
          <w:lang w:eastAsia="en-GB"/>
        </w:rPr>
        <w:t>In addition, the</w:t>
      </w:r>
      <w:r w:rsidRPr="00C00012">
        <w:rPr>
          <w:rFonts w:ascii="Arial" w:hAnsi="Arial" w:cs="Arial"/>
          <w:sz w:val="22"/>
          <w:szCs w:val="22"/>
          <w:lang w:eastAsia="en-GB"/>
        </w:rPr>
        <w:t xml:space="preserve"> P</w:t>
      </w:r>
      <w:r w:rsidR="005A2B31">
        <w:rPr>
          <w:rFonts w:ascii="Arial" w:hAnsi="Arial" w:cs="Arial"/>
          <w:sz w:val="22"/>
          <w:szCs w:val="22"/>
          <w:lang w:eastAsia="en-GB"/>
        </w:rPr>
        <w:t>rofessional</w:t>
      </w:r>
      <w:r w:rsidRPr="00C00012">
        <w:rPr>
          <w:rFonts w:ascii="Arial" w:hAnsi="Arial" w:cs="Arial"/>
          <w:sz w:val="22"/>
          <w:szCs w:val="22"/>
          <w:lang w:eastAsia="en-GB"/>
        </w:rPr>
        <w:t xml:space="preserve"> Support Unit should be notified using a P</w:t>
      </w:r>
      <w:r w:rsidR="005A2B31">
        <w:rPr>
          <w:rFonts w:ascii="Arial" w:hAnsi="Arial" w:cs="Arial"/>
          <w:sz w:val="22"/>
          <w:szCs w:val="22"/>
          <w:lang w:eastAsia="en-GB"/>
        </w:rPr>
        <w:t>rofessional</w:t>
      </w:r>
      <w:r w:rsidRPr="00C00012">
        <w:rPr>
          <w:rFonts w:ascii="Arial" w:hAnsi="Arial" w:cs="Arial"/>
          <w:sz w:val="22"/>
          <w:szCs w:val="22"/>
          <w:lang w:eastAsia="en-GB"/>
        </w:rPr>
        <w:t xml:space="preserve"> Support Unit Referral Form (Form 1). This will normally be undertaken by a Training Programme Director or Head of School, but may also be from an educational supervisor. The form may be completed electronically, or during a phone discussion, but the trainee must be notified that the referral is being undertaken.</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numPr>
          <w:ilvl w:val="0"/>
          <w:numId w:val="14"/>
        </w:numPr>
        <w:ind w:left="426" w:hanging="426"/>
        <w:rPr>
          <w:rFonts w:ascii="Arial" w:hAnsi="Arial" w:cs="Arial"/>
          <w:b/>
          <w:color w:val="000000"/>
          <w:sz w:val="22"/>
          <w:szCs w:val="22"/>
          <w:lang w:eastAsia="en-GB"/>
        </w:rPr>
      </w:pPr>
      <w:r w:rsidRPr="00C00012">
        <w:rPr>
          <w:rFonts w:ascii="Arial" w:hAnsi="Arial" w:cs="Arial"/>
          <w:b/>
          <w:color w:val="000000"/>
          <w:sz w:val="22"/>
          <w:szCs w:val="22"/>
          <w:lang w:eastAsia="en-GB"/>
        </w:rPr>
        <w:t>Referrals to the Professional Support Unit</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 xml:space="preserve">The Professional Support Unit (PSU) aims to provide expertise, a consistency of approach, additional support for trainees and trainers, and access to resources. The PSU is led by the Deputy Dean with responsibility for Professional Support, and a Senior HEE, EoE Manager, working with a Case Co-ordinator, who will provide administrative support and co-ordinate the process, and a team of “Clinical Case Managers”. These are drawn from senior educators across HEE, </w:t>
      </w:r>
      <w:proofErr w:type="gramStart"/>
      <w:r w:rsidRPr="00C00012">
        <w:rPr>
          <w:rFonts w:ascii="Arial" w:hAnsi="Arial" w:cs="Arial"/>
          <w:sz w:val="22"/>
          <w:szCs w:val="22"/>
          <w:lang w:eastAsia="en-GB"/>
        </w:rPr>
        <w:t>EoE</w:t>
      </w:r>
      <w:proofErr w:type="gramEnd"/>
      <w:r w:rsidRPr="00C00012">
        <w:rPr>
          <w:rFonts w:ascii="Arial" w:hAnsi="Arial" w:cs="Arial"/>
          <w:sz w:val="22"/>
          <w:szCs w:val="22"/>
          <w:lang w:eastAsia="en-GB"/>
        </w:rPr>
        <w:t xml:space="preserve"> and from different specialty backgrounds with experience of trainee support, and they will have undergone specific training and a programme of on-going support and development. </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Referrals to the PSU (see flowchart below) will be triaged and advice may be given, particularly for Level 2 concerns. For all referrals, the PSU will request that a P</w:t>
      </w:r>
      <w:r w:rsidR="009B0011" w:rsidRPr="00C00012">
        <w:rPr>
          <w:rFonts w:ascii="Arial" w:hAnsi="Arial" w:cs="Arial"/>
          <w:sz w:val="22"/>
          <w:szCs w:val="22"/>
          <w:lang w:eastAsia="en-GB"/>
        </w:rPr>
        <w:t>rof</w:t>
      </w:r>
      <w:r w:rsidR="00292478" w:rsidRPr="00C00012">
        <w:rPr>
          <w:rFonts w:ascii="Arial" w:hAnsi="Arial" w:cs="Arial"/>
          <w:sz w:val="22"/>
          <w:szCs w:val="22"/>
          <w:lang w:eastAsia="en-GB"/>
        </w:rPr>
        <w:t>essional</w:t>
      </w:r>
      <w:r w:rsidRPr="00C00012">
        <w:rPr>
          <w:rFonts w:ascii="Arial" w:hAnsi="Arial" w:cs="Arial"/>
          <w:sz w:val="22"/>
          <w:szCs w:val="22"/>
          <w:lang w:eastAsia="en-GB"/>
        </w:rPr>
        <w:t xml:space="preserve"> Support Framework </w:t>
      </w:r>
      <w:r w:rsidRPr="00C00012">
        <w:rPr>
          <w:rFonts w:ascii="Arial" w:hAnsi="Arial" w:cs="Arial"/>
          <w:sz w:val="22"/>
          <w:szCs w:val="22"/>
          <w:lang w:eastAsia="en-GB"/>
        </w:rPr>
        <w:lastRenderedPageBreak/>
        <w:t>(Form</w:t>
      </w:r>
      <w:r w:rsidR="002661A3" w:rsidRPr="00C00012">
        <w:rPr>
          <w:rFonts w:ascii="Arial" w:hAnsi="Arial" w:cs="Arial"/>
          <w:sz w:val="22"/>
          <w:szCs w:val="22"/>
          <w:lang w:eastAsia="en-GB"/>
        </w:rPr>
        <w:t xml:space="preserve">s 1 &amp; 2) </w:t>
      </w:r>
      <w:proofErr w:type="gramStart"/>
      <w:r w:rsidR="002661A3" w:rsidRPr="00C00012">
        <w:rPr>
          <w:rFonts w:ascii="Arial" w:hAnsi="Arial" w:cs="Arial"/>
          <w:sz w:val="22"/>
          <w:szCs w:val="22"/>
          <w:lang w:eastAsia="en-GB"/>
        </w:rPr>
        <w:t>are</w:t>
      </w:r>
      <w:proofErr w:type="gramEnd"/>
      <w:r w:rsidRPr="00C00012">
        <w:rPr>
          <w:rFonts w:ascii="Arial" w:hAnsi="Arial" w:cs="Arial"/>
          <w:sz w:val="22"/>
          <w:szCs w:val="22"/>
          <w:lang w:eastAsia="en-GB"/>
        </w:rPr>
        <w:t xml:space="preserve"> completed.</w:t>
      </w:r>
      <w:r w:rsidR="00AD77FC" w:rsidRPr="00C00012">
        <w:rPr>
          <w:rFonts w:ascii="Arial" w:hAnsi="Arial" w:cs="Arial"/>
          <w:sz w:val="22"/>
          <w:szCs w:val="22"/>
          <w:lang w:eastAsia="en-GB"/>
        </w:rPr>
        <w:t xml:space="preserve"> If the framework is not filled incorrectly, referrals will not be </w:t>
      </w:r>
      <w:r w:rsidR="00B67610" w:rsidRPr="00C00012">
        <w:rPr>
          <w:rFonts w:ascii="Arial" w:hAnsi="Arial" w:cs="Arial"/>
          <w:sz w:val="22"/>
          <w:szCs w:val="22"/>
          <w:lang w:eastAsia="en-GB"/>
        </w:rPr>
        <w:t>processed</w:t>
      </w:r>
      <w:r w:rsidR="00AD77FC" w:rsidRPr="00C00012">
        <w:rPr>
          <w:rFonts w:ascii="Arial" w:hAnsi="Arial" w:cs="Arial"/>
          <w:sz w:val="22"/>
          <w:szCs w:val="22"/>
          <w:lang w:eastAsia="en-GB"/>
        </w:rPr>
        <w:t>.</w:t>
      </w:r>
      <w:r w:rsidR="002661A3" w:rsidRPr="00C00012">
        <w:rPr>
          <w:rFonts w:ascii="Arial" w:hAnsi="Arial" w:cs="Arial"/>
          <w:sz w:val="22"/>
          <w:szCs w:val="22"/>
          <w:lang w:eastAsia="en-GB"/>
        </w:rPr>
        <w:t xml:space="preserve"> </w:t>
      </w:r>
      <w:r w:rsidRPr="00C00012">
        <w:rPr>
          <w:rFonts w:ascii="Arial" w:hAnsi="Arial" w:cs="Arial"/>
          <w:sz w:val="22"/>
          <w:szCs w:val="22"/>
          <w:lang w:eastAsia="en-GB"/>
        </w:rPr>
        <w:t>Following triage and where appropriate, the PSU will undertake a further process of review and development of an action plan. The trainee will be assigned a Clinical Case Manager, and will be invited to a meeting to discuss the concerns raised.  An example of items discussed in these review meetings can be seen in Appendix 2.</w:t>
      </w:r>
    </w:p>
    <w:p w:rsidR="006A2A89" w:rsidRPr="00C00012" w:rsidRDefault="006A2A89" w:rsidP="00135B6E">
      <w:pPr>
        <w:rPr>
          <w:rFonts w:ascii="Arial" w:hAnsi="Arial" w:cs="Arial"/>
          <w:sz w:val="22"/>
          <w:szCs w:val="22"/>
          <w:lang w:eastAsia="en-GB"/>
        </w:rPr>
      </w:pPr>
    </w:p>
    <w:p w:rsidR="006A2A89" w:rsidRPr="00C00012" w:rsidRDefault="006A2A89" w:rsidP="00135B6E">
      <w:pPr>
        <w:rPr>
          <w:rFonts w:ascii="Arial" w:hAnsi="Arial" w:cs="Arial"/>
          <w:sz w:val="22"/>
          <w:szCs w:val="22"/>
          <w:lang w:eastAsia="en-GB"/>
        </w:rPr>
      </w:pPr>
      <w:r w:rsidRPr="00C00012">
        <w:rPr>
          <w:rFonts w:ascii="Arial" w:hAnsi="Arial" w:cs="Arial"/>
          <w:sz w:val="22"/>
          <w:szCs w:val="22"/>
          <w:lang w:eastAsia="en-GB"/>
        </w:rPr>
        <w:t xml:space="preserve">We currently do not accept self-referrals however; in cases where Exam failure is the only concern, a separate process may be followed (Appendix 3).  </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b/>
          <w:sz w:val="22"/>
          <w:szCs w:val="22"/>
          <w:lang w:eastAsia="en-GB"/>
        </w:rPr>
      </w:pPr>
      <w:r w:rsidRPr="00C00012">
        <w:rPr>
          <w:rFonts w:ascii="Arial" w:hAnsi="Arial" w:cs="Arial"/>
          <w:b/>
          <w:sz w:val="22"/>
          <w:szCs w:val="22"/>
          <w:lang w:eastAsia="en-GB"/>
        </w:rPr>
        <w:t>P</w:t>
      </w:r>
      <w:r w:rsidR="00292478" w:rsidRPr="00C00012">
        <w:rPr>
          <w:rFonts w:ascii="Arial" w:hAnsi="Arial" w:cs="Arial"/>
          <w:b/>
          <w:sz w:val="22"/>
          <w:szCs w:val="22"/>
          <w:lang w:eastAsia="en-GB"/>
        </w:rPr>
        <w:t>rofessional</w:t>
      </w:r>
      <w:r w:rsidRPr="00C00012">
        <w:rPr>
          <w:rFonts w:ascii="Arial" w:hAnsi="Arial" w:cs="Arial"/>
          <w:b/>
          <w:sz w:val="22"/>
          <w:szCs w:val="22"/>
          <w:lang w:eastAsia="en-GB"/>
        </w:rPr>
        <w:t xml:space="preserve"> Support Unit (PSU) Referral Flowchart</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b/>
          <w:sz w:val="22"/>
          <w:szCs w:val="22"/>
          <w:lang w:eastAsia="en-GB"/>
        </w:rPr>
      </w:pPr>
      <w:r w:rsidRPr="00C00012">
        <w:rPr>
          <w:rFonts w:ascii="Arial" w:hAnsi="Arial" w:cs="Arial"/>
          <w:b/>
          <w:noProof/>
          <w:sz w:val="22"/>
          <w:szCs w:val="22"/>
          <w:lang w:eastAsia="en-GB"/>
        </w:rPr>
        <w:drawing>
          <wp:inline distT="0" distB="0" distL="0" distR="0" wp14:anchorId="2812212C" wp14:editId="5A8F5951">
            <wp:extent cx="5193102" cy="5803557"/>
            <wp:effectExtent l="0" t="0" r="762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6689" cy="5807565"/>
                    </a:xfrm>
                    <a:prstGeom prst="rect">
                      <a:avLst/>
                    </a:prstGeom>
                    <a:noFill/>
                  </pic:spPr>
                </pic:pic>
              </a:graphicData>
            </a:graphic>
          </wp:inline>
        </w:drawing>
      </w:r>
    </w:p>
    <w:p w:rsidR="00135B6E" w:rsidRPr="00C00012" w:rsidRDefault="00135B6E" w:rsidP="00135B6E">
      <w:pPr>
        <w:rPr>
          <w:rFonts w:ascii="Arial" w:hAnsi="Arial" w:cs="Arial"/>
          <w:sz w:val="22"/>
          <w:szCs w:val="22"/>
          <w:lang w:eastAsia="en-GB"/>
        </w:rPr>
      </w:pPr>
    </w:p>
    <w:p w:rsidR="00292478" w:rsidRPr="00C00012" w:rsidRDefault="00292478" w:rsidP="00135B6E">
      <w:pPr>
        <w:rPr>
          <w:rFonts w:ascii="Arial" w:hAnsi="Arial" w:cs="Arial"/>
          <w:sz w:val="22"/>
          <w:szCs w:val="22"/>
          <w:lang w:eastAsia="en-GB"/>
        </w:rPr>
      </w:pPr>
    </w:p>
    <w:p w:rsidR="00292478" w:rsidRPr="00C00012" w:rsidRDefault="00292478" w:rsidP="00135B6E">
      <w:pPr>
        <w:rPr>
          <w:rFonts w:ascii="Arial" w:hAnsi="Arial" w:cs="Arial"/>
          <w:sz w:val="22"/>
          <w:szCs w:val="22"/>
          <w:lang w:eastAsia="en-GB"/>
        </w:rPr>
      </w:pPr>
    </w:p>
    <w:p w:rsidR="00292478" w:rsidRPr="00C00012" w:rsidRDefault="00292478" w:rsidP="00135B6E">
      <w:pPr>
        <w:rPr>
          <w:rFonts w:ascii="Arial" w:hAnsi="Arial" w:cs="Arial"/>
          <w:sz w:val="22"/>
          <w:szCs w:val="22"/>
          <w:lang w:eastAsia="en-GB"/>
        </w:rPr>
      </w:pPr>
    </w:p>
    <w:p w:rsidR="00292478" w:rsidRPr="00C00012" w:rsidRDefault="00292478" w:rsidP="00135B6E">
      <w:pPr>
        <w:rPr>
          <w:rFonts w:ascii="Arial" w:hAnsi="Arial" w:cs="Arial"/>
          <w:sz w:val="22"/>
          <w:szCs w:val="22"/>
          <w:lang w:eastAsia="en-GB"/>
        </w:rPr>
      </w:pPr>
    </w:p>
    <w:p w:rsidR="00292478" w:rsidRPr="00C00012" w:rsidRDefault="00292478" w:rsidP="00135B6E">
      <w:pPr>
        <w:rPr>
          <w:rFonts w:ascii="Arial" w:hAnsi="Arial" w:cs="Arial"/>
          <w:sz w:val="22"/>
          <w:szCs w:val="22"/>
          <w:lang w:eastAsia="en-GB"/>
        </w:rPr>
      </w:pPr>
    </w:p>
    <w:p w:rsidR="00292478" w:rsidRPr="00C00012" w:rsidRDefault="00292478"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lastRenderedPageBreak/>
        <w:t xml:space="preserve">A report and an action plan should be implemented and communicated to the trainee, the Training Programme Director, the relevant College Tutor, Clinical Tutor, GP Associate Dean and HR where relevant.  An action plan should be developed against clearly defined measurable outcomes and timescales in consultation with the trainee. Further meetings should be scheduled to review progress. </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 xml:space="preserve">All documentation will be shared with the trainee, who will be given opportunity to comment before wider distribution. The trainee should be informed of the distribution list for meeting notes, reports and action plans. Some documentation such as OH reports may be highly confidential and should not be distributed without the explicit permission of the trainee. </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 xml:space="preserve">The CCM, working closely with the supervising educational faculty, should consider if additional support from specialist services should be sought at this stage. If appropriate, the employing organisation’s disciplinary or serious untoward incident policy will be followed alongside HEE, </w:t>
      </w:r>
      <w:proofErr w:type="gramStart"/>
      <w:r w:rsidRPr="00C00012">
        <w:rPr>
          <w:rFonts w:ascii="Arial" w:hAnsi="Arial" w:cs="Arial"/>
          <w:sz w:val="22"/>
          <w:szCs w:val="22"/>
          <w:lang w:eastAsia="en-GB"/>
        </w:rPr>
        <w:t>EoE</w:t>
      </w:r>
      <w:proofErr w:type="gramEnd"/>
      <w:r w:rsidRPr="00C00012">
        <w:rPr>
          <w:rFonts w:ascii="Arial" w:hAnsi="Arial" w:cs="Arial"/>
          <w:sz w:val="22"/>
          <w:szCs w:val="22"/>
          <w:lang w:eastAsia="en-GB"/>
        </w:rPr>
        <w:t xml:space="preserve"> policies such as the ARCP policy. HEE, </w:t>
      </w:r>
      <w:proofErr w:type="gramStart"/>
      <w:r w:rsidRPr="00C00012">
        <w:rPr>
          <w:rFonts w:ascii="Arial" w:hAnsi="Arial" w:cs="Arial"/>
          <w:sz w:val="22"/>
          <w:szCs w:val="22"/>
          <w:lang w:eastAsia="en-GB"/>
        </w:rPr>
        <w:t>EoE</w:t>
      </w:r>
      <w:proofErr w:type="gramEnd"/>
      <w:r w:rsidRPr="00C00012">
        <w:rPr>
          <w:rFonts w:ascii="Arial" w:hAnsi="Arial" w:cs="Arial"/>
          <w:sz w:val="22"/>
          <w:szCs w:val="22"/>
          <w:lang w:eastAsia="en-GB"/>
        </w:rPr>
        <w:t xml:space="preserve"> may also refer the trainee to the GMC and / or NCAS if this has not already been undertaken by the Local Education Provider.</w:t>
      </w:r>
    </w:p>
    <w:p w:rsidR="00135B6E" w:rsidRPr="00C00012" w:rsidRDefault="00135B6E" w:rsidP="00135B6E">
      <w:pPr>
        <w:rPr>
          <w:rFonts w:ascii="Arial" w:hAnsi="Arial" w:cs="Arial"/>
          <w:sz w:val="22"/>
          <w:szCs w:val="22"/>
          <w:lang w:eastAsia="en-GB"/>
        </w:rPr>
      </w:pPr>
    </w:p>
    <w:p w:rsidR="00AD77FC" w:rsidRPr="00C00012" w:rsidRDefault="00135B6E" w:rsidP="00135B6E">
      <w:pPr>
        <w:rPr>
          <w:rFonts w:ascii="Arial" w:hAnsi="Arial" w:cs="Arial"/>
          <w:b/>
          <w:i/>
          <w:sz w:val="22"/>
          <w:szCs w:val="22"/>
          <w:lang w:eastAsia="en-GB"/>
        </w:rPr>
      </w:pPr>
      <w:r w:rsidRPr="00C00012">
        <w:rPr>
          <w:rFonts w:ascii="Arial" w:hAnsi="Arial" w:cs="Arial"/>
          <w:b/>
          <w:i/>
          <w:sz w:val="22"/>
          <w:szCs w:val="22"/>
          <w:lang w:eastAsia="en-GB"/>
        </w:rPr>
        <w:t>Additional support may include</w:t>
      </w:r>
      <w:r w:rsidR="00AD77FC" w:rsidRPr="00C00012">
        <w:rPr>
          <w:rFonts w:ascii="Arial" w:hAnsi="Arial" w:cs="Arial"/>
          <w:b/>
          <w:i/>
          <w:sz w:val="22"/>
          <w:szCs w:val="22"/>
          <w:lang w:eastAsia="en-GB"/>
        </w:rPr>
        <w:t>:</w:t>
      </w:r>
    </w:p>
    <w:p w:rsidR="00AD77FC" w:rsidRPr="00C00012" w:rsidRDefault="00AD77FC" w:rsidP="00135B6E">
      <w:pPr>
        <w:rPr>
          <w:rFonts w:ascii="Arial" w:hAnsi="Arial" w:cs="Arial"/>
          <w:b/>
          <w:i/>
          <w:sz w:val="22"/>
          <w:szCs w:val="22"/>
          <w:lang w:eastAsia="en-GB"/>
        </w:rPr>
      </w:pPr>
    </w:p>
    <w:p w:rsidR="00AD77FC" w:rsidRPr="00C00012" w:rsidRDefault="00AD77FC" w:rsidP="00AD77FC">
      <w:pPr>
        <w:pStyle w:val="ListParagraph"/>
        <w:numPr>
          <w:ilvl w:val="0"/>
          <w:numId w:val="18"/>
        </w:numPr>
        <w:rPr>
          <w:rFonts w:ascii="Arial" w:hAnsi="Arial" w:cs="Arial"/>
          <w:sz w:val="22"/>
          <w:szCs w:val="22"/>
          <w:lang w:eastAsia="en-GB"/>
        </w:rPr>
      </w:pPr>
      <w:r w:rsidRPr="00C00012">
        <w:rPr>
          <w:rFonts w:ascii="Arial" w:hAnsi="Arial" w:cs="Arial"/>
          <w:sz w:val="22"/>
          <w:szCs w:val="22"/>
          <w:lang w:eastAsia="en-GB"/>
        </w:rPr>
        <w:t>Careers support</w:t>
      </w:r>
    </w:p>
    <w:p w:rsidR="00AD77FC" w:rsidRPr="00C00012" w:rsidRDefault="00AD77FC" w:rsidP="00AD77FC">
      <w:pPr>
        <w:pStyle w:val="ListParagraph"/>
        <w:numPr>
          <w:ilvl w:val="0"/>
          <w:numId w:val="18"/>
        </w:numPr>
        <w:rPr>
          <w:rFonts w:ascii="Arial" w:hAnsi="Arial" w:cs="Arial"/>
          <w:sz w:val="22"/>
          <w:szCs w:val="22"/>
          <w:lang w:eastAsia="en-GB"/>
        </w:rPr>
      </w:pPr>
      <w:r w:rsidRPr="00C00012">
        <w:rPr>
          <w:rFonts w:ascii="Arial" w:hAnsi="Arial" w:cs="Arial"/>
          <w:sz w:val="22"/>
          <w:szCs w:val="22"/>
          <w:lang w:eastAsia="en-GB"/>
        </w:rPr>
        <w:t>A</w:t>
      </w:r>
      <w:r w:rsidR="00135B6E" w:rsidRPr="00C00012">
        <w:rPr>
          <w:rFonts w:ascii="Arial" w:hAnsi="Arial" w:cs="Arial"/>
          <w:sz w:val="22"/>
          <w:szCs w:val="22"/>
          <w:lang w:eastAsia="en-GB"/>
        </w:rPr>
        <w:t xml:space="preserve"> recommendation for less than full time trainin</w:t>
      </w:r>
      <w:r w:rsidRPr="00C00012">
        <w:rPr>
          <w:rFonts w:ascii="Arial" w:hAnsi="Arial" w:cs="Arial"/>
          <w:sz w:val="22"/>
          <w:szCs w:val="22"/>
          <w:lang w:eastAsia="en-GB"/>
        </w:rPr>
        <w:t>g or a supernumerary placement</w:t>
      </w:r>
    </w:p>
    <w:p w:rsidR="00135B6E" w:rsidRPr="00C00012" w:rsidRDefault="00AD77FC" w:rsidP="00AD77FC">
      <w:pPr>
        <w:pStyle w:val="ListParagraph"/>
        <w:numPr>
          <w:ilvl w:val="0"/>
          <w:numId w:val="18"/>
        </w:numPr>
        <w:rPr>
          <w:rFonts w:ascii="Arial" w:hAnsi="Arial" w:cs="Arial"/>
          <w:sz w:val="22"/>
          <w:szCs w:val="22"/>
          <w:lang w:eastAsia="en-GB"/>
        </w:rPr>
      </w:pPr>
      <w:r w:rsidRPr="00C00012">
        <w:rPr>
          <w:rFonts w:ascii="Arial" w:hAnsi="Arial" w:cs="Arial"/>
          <w:sz w:val="22"/>
          <w:szCs w:val="22"/>
          <w:lang w:eastAsia="en-GB"/>
        </w:rPr>
        <w:t>O</w:t>
      </w:r>
      <w:r w:rsidR="00135B6E" w:rsidRPr="00C00012">
        <w:rPr>
          <w:rFonts w:ascii="Arial" w:hAnsi="Arial" w:cs="Arial"/>
          <w:sz w:val="22"/>
          <w:szCs w:val="22"/>
          <w:lang w:eastAsia="en-GB"/>
        </w:rPr>
        <w:t xml:space="preserve">ccupational health and /or specialist referral. </w:t>
      </w:r>
      <w:r w:rsidRPr="00C00012">
        <w:rPr>
          <w:rFonts w:ascii="Arial" w:hAnsi="Arial" w:cs="Arial"/>
          <w:sz w:val="22"/>
          <w:szCs w:val="22"/>
          <w:lang w:eastAsia="en-GB"/>
        </w:rPr>
        <w:t>(</w:t>
      </w:r>
      <w:r w:rsidR="00135B6E" w:rsidRPr="00C00012">
        <w:rPr>
          <w:rFonts w:ascii="Arial" w:hAnsi="Arial" w:cs="Arial"/>
          <w:sz w:val="22"/>
          <w:szCs w:val="22"/>
          <w:lang w:eastAsia="en-GB"/>
        </w:rPr>
        <w:t xml:space="preserve">HEE, </w:t>
      </w:r>
      <w:proofErr w:type="gramStart"/>
      <w:r w:rsidR="00135B6E" w:rsidRPr="00C00012">
        <w:rPr>
          <w:rFonts w:ascii="Arial" w:hAnsi="Arial" w:cs="Arial"/>
          <w:sz w:val="22"/>
          <w:szCs w:val="22"/>
          <w:lang w:eastAsia="en-GB"/>
        </w:rPr>
        <w:t>EoE</w:t>
      </w:r>
      <w:proofErr w:type="gramEnd"/>
      <w:r w:rsidR="00135B6E" w:rsidRPr="00C00012">
        <w:rPr>
          <w:rFonts w:ascii="Arial" w:hAnsi="Arial" w:cs="Arial"/>
          <w:sz w:val="22"/>
          <w:szCs w:val="22"/>
          <w:lang w:eastAsia="en-GB"/>
        </w:rPr>
        <w:t xml:space="preserve"> will where possible provide additional resource to support recommendations, and this can be accessed through a funding request (Form 4)</w:t>
      </w:r>
      <w:r w:rsidRPr="00C00012">
        <w:rPr>
          <w:rFonts w:ascii="Arial" w:hAnsi="Arial" w:cs="Arial"/>
          <w:sz w:val="22"/>
          <w:szCs w:val="22"/>
          <w:lang w:eastAsia="en-GB"/>
        </w:rPr>
        <w:t>)</w:t>
      </w:r>
      <w:r w:rsidR="00135B6E" w:rsidRPr="00C00012">
        <w:rPr>
          <w:rFonts w:ascii="Arial" w:hAnsi="Arial" w:cs="Arial"/>
          <w:sz w:val="22"/>
          <w:szCs w:val="22"/>
          <w:lang w:eastAsia="en-GB"/>
        </w:rPr>
        <w:t>.</w:t>
      </w:r>
    </w:p>
    <w:p w:rsidR="00AD77FC" w:rsidRPr="00C00012" w:rsidRDefault="00AD77FC" w:rsidP="00AD77FC">
      <w:pPr>
        <w:pStyle w:val="ListParagraph"/>
        <w:numPr>
          <w:ilvl w:val="0"/>
          <w:numId w:val="18"/>
        </w:numPr>
        <w:rPr>
          <w:rFonts w:ascii="Arial" w:hAnsi="Arial" w:cs="Arial"/>
          <w:sz w:val="22"/>
          <w:szCs w:val="22"/>
          <w:lang w:eastAsia="en-GB"/>
        </w:rPr>
      </w:pPr>
      <w:r w:rsidRPr="00C00012">
        <w:rPr>
          <w:rFonts w:ascii="Arial" w:hAnsi="Arial" w:cs="Arial"/>
          <w:sz w:val="22"/>
          <w:szCs w:val="22"/>
          <w:lang w:eastAsia="en-GB"/>
        </w:rPr>
        <w:t>Psychological support</w:t>
      </w:r>
    </w:p>
    <w:p w:rsidR="00AD77FC" w:rsidRPr="00C00012" w:rsidRDefault="00AD77FC" w:rsidP="00AD77FC">
      <w:pPr>
        <w:pStyle w:val="ListParagraph"/>
        <w:numPr>
          <w:ilvl w:val="0"/>
          <w:numId w:val="18"/>
        </w:numPr>
        <w:rPr>
          <w:rFonts w:ascii="Arial" w:hAnsi="Arial" w:cs="Arial"/>
          <w:sz w:val="22"/>
          <w:szCs w:val="22"/>
          <w:lang w:eastAsia="en-GB"/>
        </w:rPr>
      </w:pPr>
      <w:r w:rsidRPr="00C00012">
        <w:rPr>
          <w:rFonts w:ascii="Arial" w:hAnsi="Arial" w:cs="Arial"/>
          <w:sz w:val="22"/>
          <w:szCs w:val="22"/>
          <w:lang w:eastAsia="en-GB"/>
        </w:rPr>
        <w:t>Communication Skills</w:t>
      </w:r>
    </w:p>
    <w:p w:rsidR="00AD77FC" w:rsidRPr="00C00012" w:rsidRDefault="00AD77FC" w:rsidP="00AD77FC">
      <w:pPr>
        <w:pStyle w:val="ListParagraph"/>
        <w:numPr>
          <w:ilvl w:val="0"/>
          <w:numId w:val="18"/>
        </w:numPr>
        <w:rPr>
          <w:rFonts w:ascii="Arial" w:hAnsi="Arial" w:cs="Arial"/>
          <w:sz w:val="22"/>
          <w:szCs w:val="22"/>
          <w:lang w:eastAsia="en-GB"/>
        </w:rPr>
      </w:pPr>
      <w:r w:rsidRPr="00C00012">
        <w:rPr>
          <w:rFonts w:ascii="Arial" w:hAnsi="Arial" w:cs="Arial"/>
          <w:sz w:val="22"/>
          <w:szCs w:val="22"/>
          <w:lang w:eastAsia="en-GB"/>
        </w:rPr>
        <w:t>Dyslexia screening and/or a referral to an Educational Psychologist</w:t>
      </w:r>
    </w:p>
    <w:p w:rsidR="00AD77FC" w:rsidRPr="00C00012" w:rsidRDefault="00AD77FC" w:rsidP="00AD77FC">
      <w:pPr>
        <w:pStyle w:val="ListParagraph"/>
        <w:numPr>
          <w:ilvl w:val="0"/>
          <w:numId w:val="18"/>
        </w:numPr>
        <w:rPr>
          <w:rFonts w:ascii="Arial" w:hAnsi="Arial" w:cs="Arial"/>
          <w:sz w:val="22"/>
          <w:szCs w:val="22"/>
          <w:lang w:eastAsia="en-GB"/>
        </w:rPr>
      </w:pPr>
      <w:r w:rsidRPr="00C00012">
        <w:rPr>
          <w:rFonts w:ascii="Arial" w:hAnsi="Arial" w:cs="Arial"/>
          <w:sz w:val="22"/>
          <w:szCs w:val="22"/>
          <w:lang w:eastAsia="en-GB"/>
        </w:rPr>
        <w:t>Individual Exam Skills coaching</w:t>
      </w:r>
    </w:p>
    <w:p w:rsidR="00AD77FC" w:rsidRPr="00C00012" w:rsidRDefault="00AD77FC" w:rsidP="00AD77FC">
      <w:pPr>
        <w:pStyle w:val="ListParagraph"/>
        <w:numPr>
          <w:ilvl w:val="0"/>
          <w:numId w:val="18"/>
        </w:numPr>
        <w:rPr>
          <w:rFonts w:ascii="Arial" w:hAnsi="Arial" w:cs="Arial"/>
          <w:sz w:val="22"/>
          <w:szCs w:val="22"/>
          <w:lang w:eastAsia="en-GB"/>
        </w:rPr>
      </w:pPr>
      <w:r w:rsidRPr="00C00012">
        <w:rPr>
          <w:rFonts w:ascii="Arial" w:hAnsi="Arial" w:cs="Arial"/>
          <w:sz w:val="22"/>
          <w:szCs w:val="22"/>
          <w:lang w:eastAsia="en-GB"/>
        </w:rPr>
        <w:t xml:space="preserve">Group Exam Support Workshops </w:t>
      </w:r>
    </w:p>
    <w:p w:rsidR="00135B6E" w:rsidRPr="00C00012" w:rsidRDefault="00135B6E" w:rsidP="00135B6E">
      <w:pPr>
        <w:rPr>
          <w:rFonts w:ascii="Arial" w:hAnsi="Arial" w:cs="Arial"/>
          <w:sz w:val="22"/>
          <w:szCs w:val="22"/>
          <w:lang w:eastAsia="en-GB"/>
        </w:rPr>
      </w:pPr>
    </w:p>
    <w:p w:rsidR="00135B6E" w:rsidRPr="00C00012" w:rsidRDefault="00135B6E" w:rsidP="00135B6E">
      <w:pPr>
        <w:numPr>
          <w:ilvl w:val="0"/>
          <w:numId w:val="14"/>
        </w:numPr>
        <w:ind w:left="426" w:hanging="426"/>
        <w:rPr>
          <w:rFonts w:ascii="Arial" w:hAnsi="Arial" w:cs="Arial"/>
          <w:b/>
          <w:sz w:val="22"/>
          <w:szCs w:val="22"/>
          <w:lang w:eastAsia="en-GB"/>
        </w:rPr>
      </w:pPr>
      <w:r w:rsidRPr="00C00012">
        <w:rPr>
          <w:rFonts w:ascii="Arial" w:hAnsi="Arial" w:cs="Arial"/>
          <w:b/>
          <w:sz w:val="22"/>
          <w:szCs w:val="22"/>
          <w:lang w:eastAsia="en-GB"/>
        </w:rPr>
        <w:t>The PSU and the ARCP process</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The ARCP process is the regulatory framework to assess progression in training and may inform referral to the PSU or require feedback from the PSU.  However, the PSU will follow processes that are undertaken outside of this regulatory framework. Copies of all PSU documentation will be kept in a confidential file and will remain separate from the ARCP process.  However, a summary document from the PSU will normally be provided to inform the ARCP panel.</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r w:rsidRPr="00C00012">
        <w:rPr>
          <w:rFonts w:ascii="Arial" w:hAnsi="Arial" w:cs="Arial"/>
          <w:sz w:val="22"/>
          <w:szCs w:val="22"/>
          <w:lang w:eastAsia="en-GB"/>
        </w:rPr>
        <w:t xml:space="preserve">If an unsatisfactory ARCP outcome is thought to be possible, the trainee must be informed and all documentation shared with the trainee prior to the ARCP panel hearing.  Please follow HEE, </w:t>
      </w:r>
      <w:proofErr w:type="spellStart"/>
      <w:proofErr w:type="gramStart"/>
      <w:r w:rsidRPr="00C00012">
        <w:rPr>
          <w:rFonts w:ascii="Arial" w:hAnsi="Arial" w:cs="Arial"/>
          <w:sz w:val="22"/>
          <w:szCs w:val="22"/>
          <w:lang w:eastAsia="en-GB"/>
        </w:rPr>
        <w:t>EoE’s</w:t>
      </w:r>
      <w:proofErr w:type="spellEnd"/>
      <w:proofErr w:type="gramEnd"/>
      <w:r w:rsidRPr="00C00012">
        <w:rPr>
          <w:rFonts w:ascii="Arial" w:hAnsi="Arial" w:cs="Arial"/>
          <w:sz w:val="22"/>
          <w:szCs w:val="22"/>
          <w:lang w:eastAsia="en-GB"/>
        </w:rPr>
        <w:t xml:space="preserve"> ARCP policy.  An unsatisfactory ARCP outcome may lead to a period of targeted training or a requirement to undergo a defined further period of training in addition to other supportive measures. </w:t>
      </w:r>
    </w:p>
    <w:p w:rsidR="00135B6E" w:rsidRPr="00C00012" w:rsidRDefault="00135B6E" w:rsidP="00135B6E">
      <w:pPr>
        <w:rPr>
          <w:rFonts w:ascii="Arial" w:hAnsi="Arial" w:cs="Arial"/>
          <w:sz w:val="22"/>
          <w:szCs w:val="22"/>
          <w:lang w:eastAsia="en-GB"/>
        </w:rPr>
      </w:pPr>
    </w:p>
    <w:p w:rsidR="00135B6E" w:rsidRPr="00C00012" w:rsidRDefault="00135B6E" w:rsidP="00135B6E">
      <w:pPr>
        <w:rPr>
          <w:rFonts w:ascii="Arial" w:hAnsi="Arial" w:cs="Arial"/>
          <w:sz w:val="22"/>
          <w:szCs w:val="22"/>
          <w:lang w:eastAsia="en-GB"/>
        </w:rPr>
      </w:pPr>
    </w:p>
    <w:p w:rsidR="00135B6E" w:rsidRPr="00C00012" w:rsidRDefault="00135B6E" w:rsidP="00135B6E">
      <w:pPr>
        <w:numPr>
          <w:ilvl w:val="0"/>
          <w:numId w:val="14"/>
        </w:numPr>
        <w:ind w:left="426" w:hanging="426"/>
        <w:rPr>
          <w:rFonts w:ascii="Arial" w:hAnsi="Arial" w:cs="Arial"/>
          <w:b/>
          <w:color w:val="000000"/>
          <w:sz w:val="22"/>
          <w:szCs w:val="22"/>
          <w:lang w:eastAsia="en-GB"/>
        </w:rPr>
      </w:pPr>
      <w:r w:rsidRPr="00C00012">
        <w:rPr>
          <w:rFonts w:ascii="Arial" w:hAnsi="Arial" w:cs="Arial"/>
          <w:b/>
          <w:color w:val="000000"/>
          <w:sz w:val="22"/>
          <w:szCs w:val="22"/>
          <w:lang w:eastAsia="en-GB"/>
        </w:rPr>
        <w:t xml:space="preserve">Quality </w:t>
      </w:r>
      <w:r w:rsidR="005A2B31">
        <w:rPr>
          <w:rFonts w:ascii="Arial" w:hAnsi="Arial" w:cs="Arial"/>
          <w:b/>
          <w:color w:val="000000"/>
          <w:sz w:val="22"/>
          <w:szCs w:val="22"/>
          <w:lang w:eastAsia="en-GB"/>
        </w:rPr>
        <w:t>Assurance</w:t>
      </w:r>
    </w:p>
    <w:p w:rsidR="00135B6E" w:rsidRPr="00C00012" w:rsidRDefault="00135B6E" w:rsidP="00135B6E">
      <w:pPr>
        <w:jc w:val="center"/>
        <w:rPr>
          <w:rFonts w:ascii="Arial" w:hAnsi="Arial" w:cs="Arial"/>
          <w:b/>
          <w:color w:val="000000"/>
          <w:sz w:val="22"/>
          <w:szCs w:val="22"/>
          <w:lang w:eastAsia="en-GB"/>
        </w:rPr>
      </w:pPr>
    </w:p>
    <w:p w:rsidR="00135B6E" w:rsidRPr="00C00012" w:rsidRDefault="00135B6E" w:rsidP="00135B6E">
      <w:pPr>
        <w:autoSpaceDE w:val="0"/>
        <w:autoSpaceDN w:val="0"/>
        <w:adjustRightInd w:val="0"/>
        <w:rPr>
          <w:rFonts w:ascii="Arial" w:eastAsia="Calibri" w:hAnsi="Arial" w:cs="Arial"/>
          <w:color w:val="000000"/>
          <w:sz w:val="22"/>
          <w:szCs w:val="22"/>
        </w:rPr>
      </w:pPr>
      <w:r w:rsidRPr="00C00012">
        <w:rPr>
          <w:rFonts w:ascii="Arial" w:eastAsia="Calibri" w:hAnsi="Arial" w:cs="Arial"/>
          <w:color w:val="000000"/>
          <w:sz w:val="22"/>
          <w:szCs w:val="22"/>
        </w:rPr>
        <w:t xml:space="preserve">The </w:t>
      </w:r>
      <w:r w:rsidR="005A2B31">
        <w:rPr>
          <w:rFonts w:ascii="Arial" w:eastAsia="Calibri" w:hAnsi="Arial" w:cs="Arial"/>
          <w:color w:val="000000"/>
          <w:sz w:val="22"/>
          <w:szCs w:val="22"/>
        </w:rPr>
        <w:t>Professional</w:t>
      </w:r>
      <w:r w:rsidRPr="00C00012">
        <w:rPr>
          <w:rFonts w:ascii="Arial" w:eastAsia="Calibri" w:hAnsi="Arial" w:cs="Arial"/>
          <w:color w:val="000000"/>
          <w:sz w:val="22"/>
          <w:szCs w:val="22"/>
        </w:rPr>
        <w:t xml:space="preserve"> Support Reference Group (under review) will:</w:t>
      </w:r>
    </w:p>
    <w:p w:rsidR="00135B6E" w:rsidRPr="00C00012" w:rsidRDefault="00135B6E" w:rsidP="00135B6E">
      <w:pPr>
        <w:autoSpaceDE w:val="0"/>
        <w:autoSpaceDN w:val="0"/>
        <w:adjustRightInd w:val="0"/>
        <w:rPr>
          <w:rFonts w:ascii="Arial" w:eastAsia="Calibri" w:hAnsi="Arial" w:cs="Arial"/>
          <w:color w:val="000000"/>
          <w:sz w:val="22"/>
          <w:szCs w:val="22"/>
        </w:rPr>
      </w:pPr>
    </w:p>
    <w:p w:rsidR="00135B6E" w:rsidRPr="00C00012" w:rsidRDefault="00135B6E" w:rsidP="00135B6E">
      <w:pPr>
        <w:numPr>
          <w:ilvl w:val="0"/>
          <w:numId w:val="13"/>
        </w:numPr>
        <w:contextualSpacing/>
        <w:rPr>
          <w:rFonts w:ascii="Arial" w:hAnsi="Arial" w:cs="Arial"/>
          <w:sz w:val="22"/>
          <w:szCs w:val="22"/>
          <w:lang w:eastAsia="en-GB"/>
        </w:rPr>
      </w:pPr>
      <w:r w:rsidRPr="00C00012">
        <w:rPr>
          <w:rFonts w:ascii="Arial" w:hAnsi="Arial" w:cs="Arial"/>
          <w:sz w:val="22"/>
          <w:szCs w:val="22"/>
          <w:lang w:eastAsia="en-GB"/>
        </w:rPr>
        <w:t xml:space="preserve">Shape HEE, </w:t>
      </w:r>
      <w:proofErr w:type="gramStart"/>
      <w:r w:rsidRPr="00C00012">
        <w:rPr>
          <w:rFonts w:ascii="Arial" w:hAnsi="Arial" w:cs="Arial"/>
          <w:sz w:val="22"/>
          <w:szCs w:val="22"/>
          <w:lang w:eastAsia="en-GB"/>
        </w:rPr>
        <w:t>EoE</w:t>
      </w:r>
      <w:proofErr w:type="gramEnd"/>
      <w:r w:rsidRPr="00C00012">
        <w:rPr>
          <w:rFonts w:ascii="Arial" w:hAnsi="Arial" w:cs="Arial"/>
          <w:sz w:val="22"/>
          <w:szCs w:val="22"/>
          <w:lang w:eastAsia="en-GB"/>
        </w:rPr>
        <w:t xml:space="preserve"> framework for Professional Support.</w:t>
      </w:r>
    </w:p>
    <w:p w:rsidR="00135B6E" w:rsidRPr="00C00012" w:rsidRDefault="00135B6E" w:rsidP="00135B6E">
      <w:pPr>
        <w:numPr>
          <w:ilvl w:val="0"/>
          <w:numId w:val="13"/>
        </w:numPr>
        <w:spacing w:after="200" w:line="276" w:lineRule="auto"/>
        <w:contextualSpacing/>
        <w:rPr>
          <w:rFonts w:ascii="Arial" w:hAnsi="Arial" w:cs="Arial"/>
          <w:sz w:val="22"/>
          <w:szCs w:val="22"/>
          <w:lang w:eastAsia="en-GB"/>
        </w:rPr>
      </w:pPr>
      <w:r w:rsidRPr="00C00012">
        <w:rPr>
          <w:rFonts w:ascii="Arial" w:hAnsi="Arial" w:cs="Arial"/>
          <w:sz w:val="22"/>
          <w:szCs w:val="22"/>
          <w:lang w:eastAsia="en-GB"/>
        </w:rPr>
        <w:t>Ensure that the interests of all parties are met by the framework.</w:t>
      </w:r>
    </w:p>
    <w:p w:rsidR="00135B6E" w:rsidRPr="00C00012" w:rsidRDefault="00135B6E" w:rsidP="00135B6E">
      <w:pPr>
        <w:numPr>
          <w:ilvl w:val="0"/>
          <w:numId w:val="13"/>
        </w:numPr>
        <w:spacing w:after="200" w:line="276" w:lineRule="auto"/>
        <w:contextualSpacing/>
        <w:rPr>
          <w:rFonts w:ascii="Arial" w:hAnsi="Arial" w:cs="Arial"/>
          <w:sz w:val="22"/>
          <w:szCs w:val="22"/>
          <w:lang w:eastAsia="en-GB"/>
        </w:rPr>
      </w:pPr>
      <w:r w:rsidRPr="00C00012">
        <w:rPr>
          <w:rFonts w:ascii="Arial" w:hAnsi="Arial" w:cs="Arial"/>
          <w:sz w:val="22"/>
          <w:szCs w:val="22"/>
          <w:lang w:eastAsia="en-GB"/>
        </w:rPr>
        <w:t xml:space="preserve">Validate and quality assure the work of HEE, </w:t>
      </w:r>
      <w:proofErr w:type="gramStart"/>
      <w:r w:rsidRPr="00C00012">
        <w:rPr>
          <w:rFonts w:ascii="Arial" w:hAnsi="Arial" w:cs="Arial"/>
          <w:sz w:val="22"/>
          <w:szCs w:val="22"/>
          <w:lang w:eastAsia="en-GB"/>
        </w:rPr>
        <w:t>EoE</w:t>
      </w:r>
      <w:proofErr w:type="gramEnd"/>
      <w:r w:rsidRPr="00C00012">
        <w:rPr>
          <w:rFonts w:ascii="Arial" w:hAnsi="Arial" w:cs="Arial"/>
          <w:sz w:val="22"/>
          <w:szCs w:val="22"/>
          <w:lang w:eastAsia="en-GB"/>
        </w:rPr>
        <w:t xml:space="preserve"> in this area.</w:t>
      </w:r>
    </w:p>
    <w:p w:rsidR="00135B6E" w:rsidRPr="00C00012" w:rsidRDefault="00135B6E" w:rsidP="00135B6E">
      <w:pPr>
        <w:numPr>
          <w:ilvl w:val="0"/>
          <w:numId w:val="12"/>
        </w:numPr>
        <w:spacing w:after="200" w:line="276" w:lineRule="auto"/>
        <w:contextualSpacing/>
        <w:rPr>
          <w:rFonts w:ascii="Arial" w:hAnsi="Arial" w:cs="Arial"/>
          <w:sz w:val="22"/>
          <w:szCs w:val="22"/>
          <w:lang w:eastAsia="en-GB"/>
        </w:rPr>
      </w:pPr>
      <w:r w:rsidRPr="00C00012">
        <w:rPr>
          <w:rFonts w:ascii="Arial" w:hAnsi="Arial" w:cs="Arial"/>
          <w:sz w:val="22"/>
          <w:szCs w:val="22"/>
          <w:lang w:eastAsia="en-GB"/>
        </w:rPr>
        <w:t xml:space="preserve">Undertake an annual review of HEE, </w:t>
      </w:r>
      <w:proofErr w:type="gramStart"/>
      <w:r w:rsidRPr="00C00012">
        <w:rPr>
          <w:rFonts w:ascii="Arial" w:hAnsi="Arial" w:cs="Arial"/>
          <w:sz w:val="22"/>
          <w:szCs w:val="22"/>
          <w:lang w:eastAsia="en-GB"/>
        </w:rPr>
        <w:t>EoE</w:t>
      </w:r>
      <w:proofErr w:type="gramEnd"/>
      <w:r w:rsidRPr="00C00012">
        <w:rPr>
          <w:rFonts w:ascii="Arial" w:hAnsi="Arial" w:cs="Arial"/>
          <w:sz w:val="22"/>
          <w:szCs w:val="22"/>
          <w:lang w:eastAsia="en-GB"/>
        </w:rPr>
        <w:t xml:space="preserve"> policies that may relate to p</w:t>
      </w:r>
      <w:r w:rsidR="005A2B31">
        <w:rPr>
          <w:rFonts w:ascii="Arial" w:hAnsi="Arial" w:cs="Arial"/>
          <w:sz w:val="22"/>
          <w:szCs w:val="22"/>
          <w:lang w:eastAsia="en-GB"/>
        </w:rPr>
        <w:t>rofessional</w:t>
      </w:r>
      <w:r w:rsidRPr="00C00012">
        <w:rPr>
          <w:rFonts w:ascii="Arial" w:hAnsi="Arial" w:cs="Arial"/>
          <w:sz w:val="22"/>
          <w:szCs w:val="22"/>
          <w:lang w:eastAsia="en-GB"/>
        </w:rPr>
        <w:t xml:space="preserve"> support.</w:t>
      </w:r>
    </w:p>
    <w:p w:rsidR="00135B6E" w:rsidRPr="00C00012" w:rsidRDefault="00135B6E" w:rsidP="00135B6E">
      <w:pPr>
        <w:numPr>
          <w:ilvl w:val="0"/>
          <w:numId w:val="12"/>
        </w:numPr>
        <w:spacing w:after="200" w:line="276" w:lineRule="auto"/>
        <w:contextualSpacing/>
        <w:rPr>
          <w:rFonts w:ascii="Arial" w:hAnsi="Arial" w:cs="Arial"/>
          <w:sz w:val="22"/>
          <w:szCs w:val="22"/>
          <w:lang w:eastAsia="en-GB"/>
        </w:rPr>
      </w:pPr>
      <w:r w:rsidRPr="00C00012">
        <w:rPr>
          <w:rFonts w:ascii="Arial" w:hAnsi="Arial" w:cs="Arial"/>
          <w:sz w:val="22"/>
          <w:szCs w:val="22"/>
          <w:lang w:eastAsia="en-GB"/>
        </w:rPr>
        <w:t xml:space="preserve">Provide a final report and action plan for HEE, </w:t>
      </w:r>
      <w:proofErr w:type="gramStart"/>
      <w:r w:rsidRPr="00C00012">
        <w:rPr>
          <w:rFonts w:ascii="Arial" w:hAnsi="Arial" w:cs="Arial"/>
          <w:sz w:val="22"/>
          <w:szCs w:val="22"/>
          <w:lang w:eastAsia="en-GB"/>
        </w:rPr>
        <w:t>EoE</w:t>
      </w:r>
      <w:proofErr w:type="gramEnd"/>
      <w:r w:rsidRPr="00C00012">
        <w:rPr>
          <w:rFonts w:ascii="Arial" w:hAnsi="Arial" w:cs="Arial"/>
          <w:sz w:val="22"/>
          <w:szCs w:val="22"/>
          <w:lang w:eastAsia="en-GB"/>
        </w:rPr>
        <w:t xml:space="preserve"> Quality Operational Group.</w:t>
      </w:r>
    </w:p>
    <w:p w:rsidR="00D33FE4" w:rsidRPr="00C00012" w:rsidRDefault="00D33FE4" w:rsidP="00D33FE4">
      <w:pPr>
        <w:spacing w:after="200" w:line="276" w:lineRule="auto"/>
        <w:ind w:left="360"/>
        <w:contextualSpacing/>
        <w:rPr>
          <w:rFonts w:ascii="Arial" w:hAnsi="Arial" w:cs="Arial"/>
          <w:sz w:val="22"/>
          <w:szCs w:val="22"/>
          <w:lang w:eastAsia="en-GB"/>
        </w:rPr>
      </w:pPr>
    </w:p>
    <w:p w:rsidR="00135B6E" w:rsidRPr="00C00012" w:rsidRDefault="00135B6E" w:rsidP="00135B6E">
      <w:pPr>
        <w:spacing w:after="200" w:line="276" w:lineRule="auto"/>
        <w:contextualSpacing/>
        <w:rPr>
          <w:rFonts w:ascii="Arial" w:hAnsi="Arial" w:cs="Arial"/>
          <w:sz w:val="22"/>
          <w:szCs w:val="22"/>
          <w:lang w:eastAsia="en-GB"/>
        </w:rPr>
      </w:pPr>
    </w:p>
    <w:p w:rsidR="00135B6E" w:rsidRPr="00C00012" w:rsidRDefault="00135B6E" w:rsidP="00135B6E">
      <w:pPr>
        <w:numPr>
          <w:ilvl w:val="0"/>
          <w:numId w:val="14"/>
        </w:numPr>
        <w:autoSpaceDE w:val="0"/>
        <w:autoSpaceDN w:val="0"/>
        <w:ind w:left="426" w:hanging="426"/>
        <w:rPr>
          <w:rFonts w:ascii="Arial" w:hAnsi="Arial" w:cs="Arial"/>
          <w:b/>
          <w:sz w:val="22"/>
          <w:szCs w:val="22"/>
          <w:u w:val="single"/>
          <w:lang w:eastAsia="en-GB"/>
        </w:rPr>
      </w:pPr>
      <w:r w:rsidRPr="00C00012">
        <w:rPr>
          <w:rFonts w:ascii="Arial" w:hAnsi="Arial" w:cs="Arial"/>
          <w:b/>
          <w:sz w:val="22"/>
          <w:szCs w:val="22"/>
          <w:u w:val="single"/>
          <w:lang w:eastAsia="en-GB"/>
        </w:rPr>
        <w:lastRenderedPageBreak/>
        <w:t>EQUALITY ACT 2010</w:t>
      </w:r>
    </w:p>
    <w:p w:rsidR="00135B6E" w:rsidRPr="00C00012" w:rsidRDefault="00135B6E" w:rsidP="00135B6E">
      <w:pPr>
        <w:autoSpaceDE w:val="0"/>
        <w:autoSpaceDN w:val="0"/>
        <w:rPr>
          <w:rFonts w:ascii="Arial" w:hAnsi="Arial" w:cs="Arial"/>
          <w:b/>
          <w:sz w:val="22"/>
          <w:szCs w:val="22"/>
          <w:u w:val="single"/>
          <w:lang w:eastAsia="en-GB"/>
        </w:rPr>
      </w:pPr>
    </w:p>
    <w:p w:rsidR="00135B6E" w:rsidRPr="00C00012" w:rsidRDefault="00135B6E" w:rsidP="00135B6E">
      <w:pPr>
        <w:autoSpaceDE w:val="0"/>
        <w:autoSpaceDN w:val="0"/>
        <w:jc w:val="both"/>
        <w:rPr>
          <w:rFonts w:ascii="Arial" w:hAnsi="Arial" w:cs="Arial"/>
          <w:sz w:val="22"/>
          <w:szCs w:val="22"/>
          <w:lang w:eastAsia="en-GB"/>
        </w:rPr>
      </w:pPr>
      <w:r w:rsidRPr="00C00012">
        <w:rPr>
          <w:rFonts w:ascii="Arial" w:hAnsi="Arial" w:cs="Arial"/>
          <w:sz w:val="22"/>
          <w:szCs w:val="22"/>
          <w:lang w:eastAsia="en-GB"/>
        </w:rPr>
        <w:t xml:space="preserve">Health Education East of England (HEE, </w:t>
      </w:r>
      <w:proofErr w:type="gramStart"/>
      <w:r w:rsidRPr="00C00012">
        <w:rPr>
          <w:rFonts w:ascii="Arial" w:hAnsi="Arial" w:cs="Arial"/>
          <w:sz w:val="22"/>
          <w:szCs w:val="22"/>
          <w:lang w:eastAsia="en-GB"/>
        </w:rPr>
        <w:t>EoE</w:t>
      </w:r>
      <w:proofErr w:type="gramEnd"/>
      <w:r w:rsidRPr="00C00012">
        <w:rPr>
          <w:rFonts w:ascii="Arial" w:hAnsi="Arial" w:cs="Arial"/>
          <w:sz w:val="22"/>
          <w:szCs w:val="22"/>
          <w:lang w:eastAsia="en-GB"/>
        </w:rPr>
        <w:t xml:space="preserve">) is committed to equality and diversity within the organisation and this policy is in line with the Equality Act 2010. HEE, </w:t>
      </w:r>
      <w:proofErr w:type="gramStart"/>
      <w:r w:rsidRPr="00C00012">
        <w:rPr>
          <w:rFonts w:ascii="Arial" w:hAnsi="Arial" w:cs="Arial"/>
          <w:sz w:val="22"/>
          <w:szCs w:val="22"/>
          <w:lang w:eastAsia="en-GB"/>
        </w:rPr>
        <w:t>EoE</w:t>
      </w:r>
      <w:proofErr w:type="gramEnd"/>
      <w:r w:rsidRPr="00C00012">
        <w:rPr>
          <w:rFonts w:ascii="Arial" w:hAnsi="Arial" w:cs="Arial"/>
          <w:sz w:val="22"/>
          <w:szCs w:val="22"/>
          <w:lang w:eastAsia="en-GB"/>
        </w:rPr>
        <w:t xml:space="preserve"> will ensure that the application of any part of this policy does not discriminate, either directly or indirectly, against anyone on the grounds of race, disability, sex, gender reassignment, sexual orientation, religion or belief, age, pregnancy or maternity, marriage or civil partnership.  </w:t>
      </w:r>
    </w:p>
    <w:p w:rsidR="0003459F" w:rsidRPr="00C00012" w:rsidRDefault="0003459F" w:rsidP="00135B6E">
      <w:pPr>
        <w:spacing w:before="100" w:beforeAutospacing="1" w:after="100" w:afterAutospacing="1"/>
        <w:rPr>
          <w:rFonts w:ascii="Arial" w:hAnsi="Arial" w:cs="Arial"/>
          <w:b/>
          <w:color w:val="000000"/>
          <w:sz w:val="22"/>
          <w:szCs w:val="22"/>
          <w:lang w:eastAsia="en-GB"/>
        </w:rPr>
      </w:pPr>
    </w:p>
    <w:p w:rsidR="0003459F" w:rsidRPr="00C00012" w:rsidRDefault="00D55383" w:rsidP="00135B6E">
      <w:pPr>
        <w:spacing w:before="100" w:beforeAutospacing="1" w:after="100" w:afterAutospacing="1"/>
        <w:rPr>
          <w:rFonts w:ascii="Arial" w:hAnsi="Arial" w:cs="Arial"/>
          <w:b/>
          <w:color w:val="000000"/>
          <w:sz w:val="22"/>
          <w:szCs w:val="22"/>
          <w:lang w:eastAsia="en-GB"/>
        </w:rPr>
      </w:pPr>
      <w:r w:rsidRPr="00C00012">
        <w:rPr>
          <w:rFonts w:ascii="Arial" w:hAnsi="Arial" w:cs="Arial"/>
          <w:b/>
          <w:color w:val="000000"/>
          <w:sz w:val="22"/>
          <w:szCs w:val="22"/>
          <w:lang w:eastAsia="en-GB"/>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55pt" o:ole="">
            <v:imagedata r:id="rId14" o:title=""/>
          </v:shape>
          <o:OLEObject Type="Embed" ProgID="Word.Document.12" ShapeID="_x0000_i1025" DrawAspect="Icon" ObjectID="_1547270856" r:id="rId15">
            <o:FieldCodes>\s</o:FieldCodes>
          </o:OLEObject>
        </w:object>
      </w:r>
    </w:p>
    <w:p w:rsidR="0003459F" w:rsidRPr="00C00012" w:rsidRDefault="0003459F" w:rsidP="0003459F">
      <w:pPr>
        <w:pStyle w:val="Caption"/>
        <w:rPr>
          <w:rFonts w:ascii="Arial" w:hAnsi="Arial" w:cs="Arial"/>
          <w:sz w:val="22"/>
          <w:szCs w:val="22"/>
        </w:rPr>
      </w:pPr>
      <w:r w:rsidRPr="00C00012">
        <w:rPr>
          <w:rFonts w:ascii="Arial" w:hAnsi="Arial" w:cs="Arial"/>
          <w:sz w:val="22"/>
          <w:szCs w:val="22"/>
        </w:rPr>
        <w:t>Form 1</w:t>
      </w:r>
    </w:p>
    <w:p w:rsidR="0003459F" w:rsidRPr="00C00012" w:rsidRDefault="00D55383" w:rsidP="0003459F">
      <w:pPr>
        <w:keepNext/>
        <w:spacing w:before="100" w:beforeAutospacing="1" w:after="100" w:afterAutospacing="1"/>
        <w:rPr>
          <w:rFonts w:ascii="Arial" w:hAnsi="Arial" w:cs="Arial"/>
          <w:sz w:val="22"/>
          <w:szCs w:val="22"/>
        </w:rPr>
      </w:pPr>
      <w:r w:rsidRPr="00C00012">
        <w:rPr>
          <w:rFonts w:ascii="Arial" w:hAnsi="Arial" w:cs="Arial"/>
          <w:sz w:val="22"/>
          <w:szCs w:val="22"/>
        </w:rPr>
        <w:object w:dxaOrig="1550" w:dyaOrig="991">
          <v:shape id="_x0000_i1026" type="#_x0000_t75" style="width:77.4pt;height:49.55pt" o:ole="">
            <v:imagedata r:id="rId16" o:title=""/>
          </v:shape>
          <o:OLEObject Type="Embed" ProgID="Word.Document.12" ShapeID="_x0000_i1026" DrawAspect="Icon" ObjectID="_1547270857" r:id="rId17">
            <o:FieldCodes>\s</o:FieldCodes>
          </o:OLEObject>
        </w:object>
      </w:r>
    </w:p>
    <w:p w:rsidR="0003459F" w:rsidRPr="00C00012" w:rsidRDefault="0003459F" w:rsidP="0003459F">
      <w:pPr>
        <w:pStyle w:val="Caption"/>
        <w:rPr>
          <w:rFonts w:ascii="Arial" w:hAnsi="Arial" w:cs="Arial"/>
          <w:sz w:val="22"/>
          <w:szCs w:val="22"/>
        </w:rPr>
      </w:pPr>
      <w:r w:rsidRPr="00C00012">
        <w:rPr>
          <w:rFonts w:ascii="Arial" w:hAnsi="Arial" w:cs="Arial"/>
          <w:sz w:val="22"/>
          <w:szCs w:val="22"/>
        </w:rPr>
        <w:t>Form 2</w:t>
      </w:r>
    </w:p>
    <w:p w:rsidR="00065C10" w:rsidRPr="00C00012" w:rsidRDefault="00065C10" w:rsidP="00065C10">
      <w:pPr>
        <w:rPr>
          <w:rFonts w:ascii="Arial" w:hAnsi="Arial" w:cs="Arial"/>
          <w:sz w:val="22"/>
          <w:szCs w:val="22"/>
        </w:rPr>
      </w:pPr>
    </w:p>
    <w:p w:rsidR="00065C10" w:rsidRPr="00C00012" w:rsidRDefault="00D55383" w:rsidP="00065C10">
      <w:pPr>
        <w:rPr>
          <w:rFonts w:ascii="Arial" w:hAnsi="Arial" w:cs="Arial"/>
          <w:sz w:val="22"/>
          <w:szCs w:val="22"/>
        </w:rPr>
      </w:pPr>
      <w:r w:rsidRPr="00C00012">
        <w:rPr>
          <w:rFonts w:ascii="Arial" w:hAnsi="Arial" w:cs="Arial"/>
          <w:sz w:val="22"/>
          <w:szCs w:val="22"/>
        </w:rPr>
        <w:object w:dxaOrig="1550" w:dyaOrig="991">
          <v:shape id="_x0000_i1027" type="#_x0000_t75" style="width:77.4pt;height:49.55pt" o:ole="">
            <v:imagedata r:id="rId18" o:title=""/>
          </v:shape>
          <o:OLEObject Type="Embed" ProgID="Word.Document.12" ShapeID="_x0000_i1027" DrawAspect="Icon" ObjectID="_1547270858" r:id="rId19">
            <o:FieldCodes>\s</o:FieldCodes>
          </o:OLEObject>
        </w:object>
      </w:r>
    </w:p>
    <w:p w:rsidR="00065C10" w:rsidRPr="00C00012" w:rsidRDefault="00065C10" w:rsidP="00065C10">
      <w:pPr>
        <w:rPr>
          <w:rFonts w:ascii="Arial" w:hAnsi="Arial" w:cs="Arial"/>
          <w:sz w:val="22"/>
          <w:szCs w:val="22"/>
        </w:rPr>
      </w:pPr>
    </w:p>
    <w:p w:rsidR="00065C10" w:rsidRPr="00C00012" w:rsidRDefault="00065C10" w:rsidP="00065C10">
      <w:pPr>
        <w:pStyle w:val="Caption"/>
        <w:rPr>
          <w:rFonts w:ascii="Arial" w:hAnsi="Arial" w:cs="Arial"/>
          <w:sz w:val="22"/>
          <w:szCs w:val="22"/>
        </w:rPr>
      </w:pPr>
      <w:r w:rsidRPr="00C00012">
        <w:rPr>
          <w:rFonts w:ascii="Arial" w:hAnsi="Arial" w:cs="Arial"/>
          <w:sz w:val="22"/>
          <w:szCs w:val="22"/>
        </w:rPr>
        <w:t>Form 3</w:t>
      </w:r>
    </w:p>
    <w:p w:rsidR="00065C10" w:rsidRPr="00C00012" w:rsidRDefault="00065C10" w:rsidP="00065C10">
      <w:pPr>
        <w:rPr>
          <w:rFonts w:ascii="Arial" w:hAnsi="Arial" w:cs="Arial"/>
          <w:sz w:val="22"/>
          <w:szCs w:val="22"/>
        </w:rPr>
      </w:pPr>
    </w:p>
    <w:p w:rsidR="0003459F" w:rsidRPr="00C00012" w:rsidRDefault="0003459F" w:rsidP="00135B6E">
      <w:pPr>
        <w:spacing w:before="100" w:beforeAutospacing="1" w:after="100" w:afterAutospacing="1"/>
        <w:rPr>
          <w:rFonts w:ascii="Arial" w:hAnsi="Arial" w:cs="Arial"/>
          <w:b/>
          <w:color w:val="000000"/>
          <w:sz w:val="22"/>
          <w:szCs w:val="22"/>
          <w:lang w:eastAsia="en-GB"/>
        </w:rPr>
      </w:pPr>
    </w:p>
    <w:p w:rsidR="00135B6E" w:rsidRPr="00C00012" w:rsidRDefault="00135B6E" w:rsidP="00135B6E">
      <w:pPr>
        <w:spacing w:before="100" w:beforeAutospacing="1" w:after="100" w:afterAutospacing="1"/>
        <w:rPr>
          <w:rFonts w:ascii="Arial" w:hAnsi="Arial" w:cs="Arial"/>
          <w:color w:val="000000"/>
          <w:sz w:val="22"/>
          <w:szCs w:val="22"/>
          <w:lang w:eastAsia="en-GB"/>
        </w:rPr>
      </w:pPr>
      <w:r w:rsidRPr="00C00012">
        <w:rPr>
          <w:rFonts w:ascii="Arial" w:hAnsi="Arial" w:cs="Arial"/>
          <w:b/>
          <w:color w:val="000000"/>
          <w:sz w:val="22"/>
          <w:szCs w:val="22"/>
          <w:lang w:eastAsia="en-GB"/>
        </w:rPr>
        <w:br w:type="page"/>
      </w:r>
      <w:r w:rsidRPr="00C00012">
        <w:rPr>
          <w:rFonts w:ascii="Arial" w:hAnsi="Arial" w:cs="Arial"/>
          <w:b/>
          <w:color w:val="000000"/>
          <w:sz w:val="22"/>
          <w:szCs w:val="22"/>
          <w:lang w:eastAsia="en-GB"/>
        </w:rPr>
        <w:lastRenderedPageBreak/>
        <w:t>Document History</w:t>
      </w:r>
    </w:p>
    <w:tbl>
      <w:tblPr>
        <w:tblW w:w="918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76"/>
        <w:gridCol w:w="1951"/>
        <w:gridCol w:w="5953"/>
      </w:tblGrid>
      <w:tr w:rsidR="00135B6E" w:rsidRPr="00C00012" w:rsidTr="00135B6E">
        <w:tc>
          <w:tcPr>
            <w:tcW w:w="1276" w:type="dxa"/>
            <w:tcBorders>
              <w:top w:val="single" w:sz="12" w:space="0" w:color="000000"/>
            </w:tcBorders>
            <w:shd w:val="pct60" w:color="000000" w:fill="FFFFFF"/>
          </w:tcPr>
          <w:p w:rsidR="00135B6E" w:rsidRPr="00C00012" w:rsidRDefault="00135B6E" w:rsidP="00135B6E">
            <w:pPr>
              <w:jc w:val="both"/>
              <w:rPr>
                <w:rFonts w:ascii="Arial" w:hAnsi="Arial" w:cs="Arial"/>
                <w:b/>
                <w:color w:val="FFFFFF"/>
                <w:sz w:val="22"/>
                <w:szCs w:val="22"/>
                <w:lang w:eastAsia="en-GB"/>
              </w:rPr>
            </w:pPr>
            <w:r w:rsidRPr="00C00012">
              <w:rPr>
                <w:rFonts w:ascii="Arial" w:hAnsi="Arial" w:cs="Arial"/>
                <w:b/>
                <w:color w:val="FFFFFF"/>
                <w:sz w:val="22"/>
                <w:szCs w:val="22"/>
                <w:lang w:eastAsia="en-GB"/>
              </w:rPr>
              <w:t>Version</w:t>
            </w:r>
          </w:p>
        </w:tc>
        <w:tc>
          <w:tcPr>
            <w:tcW w:w="1951" w:type="dxa"/>
            <w:tcBorders>
              <w:top w:val="single" w:sz="12" w:space="0" w:color="000000"/>
            </w:tcBorders>
            <w:shd w:val="pct60" w:color="000000" w:fill="FFFFFF"/>
          </w:tcPr>
          <w:p w:rsidR="00135B6E" w:rsidRPr="00C00012" w:rsidRDefault="00135B6E" w:rsidP="00135B6E">
            <w:pPr>
              <w:jc w:val="both"/>
              <w:rPr>
                <w:rFonts w:ascii="Arial" w:hAnsi="Arial" w:cs="Arial"/>
                <w:b/>
                <w:color w:val="FFFFFF"/>
                <w:sz w:val="22"/>
                <w:szCs w:val="22"/>
                <w:lang w:eastAsia="en-GB"/>
              </w:rPr>
            </w:pPr>
            <w:r w:rsidRPr="00C00012">
              <w:rPr>
                <w:rFonts w:ascii="Arial" w:hAnsi="Arial" w:cs="Arial"/>
                <w:b/>
                <w:color w:val="FFFFFF"/>
                <w:sz w:val="22"/>
                <w:szCs w:val="22"/>
                <w:lang w:eastAsia="en-GB"/>
              </w:rPr>
              <w:t>Date</w:t>
            </w:r>
          </w:p>
        </w:tc>
        <w:tc>
          <w:tcPr>
            <w:tcW w:w="5953" w:type="dxa"/>
            <w:tcBorders>
              <w:top w:val="single" w:sz="12" w:space="0" w:color="000000"/>
            </w:tcBorders>
            <w:shd w:val="pct60" w:color="000000" w:fill="FFFFFF"/>
          </w:tcPr>
          <w:p w:rsidR="00135B6E" w:rsidRPr="00C00012" w:rsidRDefault="00135B6E" w:rsidP="00135B6E">
            <w:pPr>
              <w:jc w:val="both"/>
              <w:rPr>
                <w:rFonts w:ascii="Arial" w:hAnsi="Arial" w:cs="Arial"/>
                <w:b/>
                <w:color w:val="FFFFFF"/>
                <w:sz w:val="22"/>
                <w:szCs w:val="22"/>
                <w:lang w:eastAsia="en-GB"/>
              </w:rPr>
            </w:pPr>
            <w:r w:rsidRPr="00C00012">
              <w:rPr>
                <w:rFonts w:ascii="Arial" w:hAnsi="Arial" w:cs="Arial"/>
                <w:b/>
                <w:color w:val="FFFFFF"/>
                <w:sz w:val="22"/>
                <w:szCs w:val="22"/>
                <w:lang w:eastAsia="en-GB"/>
              </w:rPr>
              <w:t>Remarks</w:t>
            </w:r>
          </w:p>
        </w:tc>
      </w:tr>
      <w:tr w:rsidR="00135B6E" w:rsidRPr="00C00012" w:rsidTr="00135B6E">
        <w:tc>
          <w:tcPr>
            <w:tcW w:w="1276"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1.0</w:t>
            </w:r>
          </w:p>
        </w:tc>
        <w:tc>
          <w:tcPr>
            <w:tcW w:w="1951"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July 2010</w:t>
            </w:r>
          </w:p>
        </w:tc>
        <w:tc>
          <w:tcPr>
            <w:tcW w:w="5953"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First draft JH, AB JW SA</w:t>
            </w:r>
          </w:p>
        </w:tc>
      </w:tr>
      <w:tr w:rsidR="00135B6E" w:rsidRPr="00C00012" w:rsidTr="00135B6E">
        <w:tc>
          <w:tcPr>
            <w:tcW w:w="1276"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1.1</w:t>
            </w:r>
          </w:p>
        </w:tc>
        <w:tc>
          <w:tcPr>
            <w:tcW w:w="1951"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July 2010</w:t>
            </w:r>
          </w:p>
        </w:tc>
        <w:tc>
          <w:tcPr>
            <w:tcW w:w="5953"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Revision and second draft involving HoS representatives</w:t>
            </w:r>
          </w:p>
        </w:tc>
      </w:tr>
      <w:tr w:rsidR="00135B6E" w:rsidRPr="00C00012" w:rsidTr="00135B6E">
        <w:tc>
          <w:tcPr>
            <w:tcW w:w="1276"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1.2</w:t>
            </w:r>
          </w:p>
        </w:tc>
        <w:tc>
          <w:tcPr>
            <w:tcW w:w="1951"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Sept 2010</w:t>
            </w:r>
          </w:p>
        </w:tc>
        <w:tc>
          <w:tcPr>
            <w:tcW w:w="5953"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Second draft discussed with Clinical Tutors</w:t>
            </w:r>
          </w:p>
        </w:tc>
      </w:tr>
      <w:tr w:rsidR="00135B6E" w:rsidRPr="00C00012" w:rsidTr="00135B6E">
        <w:tc>
          <w:tcPr>
            <w:tcW w:w="1276"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1.3</w:t>
            </w:r>
          </w:p>
        </w:tc>
        <w:tc>
          <w:tcPr>
            <w:tcW w:w="1951"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October 2010</w:t>
            </w:r>
          </w:p>
        </w:tc>
        <w:tc>
          <w:tcPr>
            <w:tcW w:w="5953"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Third draft including Eversheds comments (KR and SS)</w:t>
            </w:r>
          </w:p>
        </w:tc>
      </w:tr>
      <w:tr w:rsidR="00135B6E" w:rsidRPr="00C00012" w:rsidTr="00135B6E">
        <w:tc>
          <w:tcPr>
            <w:tcW w:w="1276"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1.4</w:t>
            </w:r>
          </w:p>
        </w:tc>
        <w:tc>
          <w:tcPr>
            <w:tcW w:w="1951"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December 2010</w:t>
            </w:r>
          </w:p>
        </w:tc>
        <w:tc>
          <w:tcPr>
            <w:tcW w:w="5953"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Fourth draft AB, KR</w:t>
            </w:r>
          </w:p>
        </w:tc>
      </w:tr>
      <w:tr w:rsidR="00135B6E" w:rsidRPr="00C00012" w:rsidTr="00135B6E">
        <w:tc>
          <w:tcPr>
            <w:tcW w:w="1276"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1.5</w:t>
            </w:r>
          </w:p>
        </w:tc>
        <w:tc>
          <w:tcPr>
            <w:tcW w:w="1951"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January 2011</w:t>
            </w:r>
          </w:p>
        </w:tc>
        <w:tc>
          <w:tcPr>
            <w:tcW w:w="5953"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Final draft AB, KR</w:t>
            </w:r>
          </w:p>
        </w:tc>
      </w:tr>
      <w:tr w:rsidR="00135B6E" w:rsidRPr="00C00012" w:rsidTr="00135B6E">
        <w:tc>
          <w:tcPr>
            <w:tcW w:w="1276"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1.6</w:t>
            </w:r>
          </w:p>
        </w:tc>
        <w:tc>
          <w:tcPr>
            <w:tcW w:w="1951"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March 2011</w:t>
            </w:r>
          </w:p>
        </w:tc>
        <w:tc>
          <w:tcPr>
            <w:tcW w:w="5953"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Final version</w:t>
            </w:r>
          </w:p>
        </w:tc>
      </w:tr>
      <w:tr w:rsidR="00135B6E" w:rsidRPr="00C00012" w:rsidTr="00135B6E">
        <w:tc>
          <w:tcPr>
            <w:tcW w:w="1276"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1.7</w:t>
            </w:r>
          </w:p>
        </w:tc>
        <w:tc>
          <w:tcPr>
            <w:tcW w:w="1951"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November 2012</w:t>
            </w:r>
          </w:p>
        </w:tc>
        <w:tc>
          <w:tcPr>
            <w:tcW w:w="5953"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Review and amendments AB, KR</w:t>
            </w:r>
          </w:p>
        </w:tc>
      </w:tr>
      <w:tr w:rsidR="00135B6E" w:rsidRPr="00C00012" w:rsidTr="00135B6E">
        <w:tc>
          <w:tcPr>
            <w:tcW w:w="1276"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1.8</w:t>
            </w:r>
          </w:p>
        </w:tc>
        <w:tc>
          <w:tcPr>
            <w:tcW w:w="1951"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December 2012</w:t>
            </w:r>
          </w:p>
        </w:tc>
        <w:tc>
          <w:tcPr>
            <w:tcW w:w="5953"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Amendments AB, KR</w:t>
            </w:r>
          </w:p>
        </w:tc>
      </w:tr>
      <w:tr w:rsidR="00135B6E" w:rsidRPr="00C00012" w:rsidTr="00135B6E">
        <w:tc>
          <w:tcPr>
            <w:tcW w:w="1276"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1.9</w:t>
            </w:r>
          </w:p>
        </w:tc>
        <w:tc>
          <w:tcPr>
            <w:tcW w:w="1951"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November 2013</w:t>
            </w:r>
          </w:p>
        </w:tc>
        <w:tc>
          <w:tcPr>
            <w:tcW w:w="5953"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Amendments AB, KR</w:t>
            </w:r>
          </w:p>
        </w:tc>
      </w:tr>
      <w:tr w:rsidR="00135B6E" w:rsidRPr="00C00012" w:rsidTr="00292478">
        <w:tc>
          <w:tcPr>
            <w:tcW w:w="1276"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1.10</w:t>
            </w:r>
          </w:p>
        </w:tc>
        <w:tc>
          <w:tcPr>
            <w:tcW w:w="1951"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January 2014</w:t>
            </w:r>
          </w:p>
        </w:tc>
        <w:tc>
          <w:tcPr>
            <w:tcW w:w="5953" w:type="dxa"/>
          </w:tcPr>
          <w:p w:rsidR="00135B6E" w:rsidRPr="00C00012" w:rsidRDefault="00135B6E" w:rsidP="00135B6E">
            <w:pPr>
              <w:jc w:val="both"/>
              <w:rPr>
                <w:rFonts w:ascii="Arial" w:hAnsi="Arial" w:cs="Arial"/>
                <w:sz w:val="22"/>
                <w:szCs w:val="22"/>
                <w:lang w:eastAsia="en-GB"/>
              </w:rPr>
            </w:pPr>
            <w:r w:rsidRPr="00C00012">
              <w:rPr>
                <w:rFonts w:ascii="Arial" w:hAnsi="Arial" w:cs="Arial"/>
                <w:sz w:val="22"/>
                <w:szCs w:val="22"/>
                <w:lang w:eastAsia="en-GB"/>
              </w:rPr>
              <w:t>Amendments (formatting) KP</w:t>
            </w:r>
          </w:p>
        </w:tc>
      </w:tr>
      <w:tr w:rsidR="00292478" w:rsidRPr="00C00012" w:rsidTr="007F6D61">
        <w:tc>
          <w:tcPr>
            <w:tcW w:w="1276" w:type="dxa"/>
          </w:tcPr>
          <w:p w:rsidR="00292478" w:rsidRPr="00C00012" w:rsidRDefault="00292478" w:rsidP="00135B6E">
            <w:pPr>
              <w:jc w:val="both"/>
              <w:rPr>
                <w:rFonts w:ascii="Arial" w:hAnsi="Arial" w:cs="Arial"/>
                <w:sz w:val="22"/>
                <w:szCs w:val="22"/>
                <w:lang w:eastAsia="en-GB"/>
              </w:rPr>
            </w:pPr>
            <w:r w:rsidRPr="00C00012">
              <w:rPr>
                <w:rFonts w:ascii="Arial" w:hAnsi="Arial" w:cs="Arial"/>
                <w:sz w:val="22"/>
                <w:szCs w:val="22"/>
                <w:lang w:eastAsia="en-GB"/>
              </w:rPr>
              <w:t>1.11</w:t>
            </w:r>
          </w:p>
        </w:tc>
        <w:tc>
          <w:tcPr>
            <w:tcW w:w="1951" w:type="dxa"/>
          </w:tcPr>
          <w:p w:rsidR="00292478" w:rsidRPr="00C00012" w:rsidRDefault="00292478" w:rsidP="00135B6E">
            <w:pPr>
              <w:jc w:val="both"/>
              <w:rPr>
                <w:rFonts w:ascii="Arial" w:hAnsi="Arial" w:cs="Arial"/>
                <w:sz w:val="22"/>
                <w:szCs w:val="22"/>
                <w:lang w:eastAsia="en-GB"/>
              </w:rPr>
            </w:pPr>
            <w:r w:rsidRPr="00C00012">
              <w:rPr>
                <w:rFonts w:ascii="Arial" w:hAnsi="Arial" w:cs="Arial"/>
                <w:sz w:val="22"/>
                <w:szCs w:val="22"/>
                <w:lang w:eastAsia="en-GB"/>
              </w:rPr>
              <w:t>December 2015</w:t>
            </w:r>
          </w:p>
        </w:tc>
        <w:tc>
          <w:tcPr>
            <w:tcW w:w="5953" w:type="dxa"/>
          </w:tcPr>
          <w:p w:rsidR="00292478" w:rsidRPr="00C00012" w:rsidRDefault="007F6D61" w:rsidP="00135B6E">
            <w:pPr>
              <w:jc w:val="both"/>
              <w:rPr>
                <w:rFonts w:ascii="Arial" w:hAnsi="Arial" w:cs="Arial"/>
                <w:sz w:val="22"/>
                <w:szCs w:val="22"/>
                <w:lang w:eastAsia="en-GB"/>
              </w:rPr>
            </w:pPr>
            <w:r w:rsidRPr="00C00012">
              <w:rPr>
                <w:rFonts w:ascii="Arial" w:hAnsi="Arial" w:cs="Arial"/>
                <w:sz w:val="22"/>
                <w:szCs w:val="22"/>
                <w:lang w:eastAsia="en-GB"/>
              </w:rPr>
              <w:t>Amendments KP</w:t>
            </w:r>
          </w:p>
        </w:tc>
      </w:tr>
      <w:tr w:rsidR="007F6D61" w:rsidRPr="00C00012" w:rsidTr="00135B6E">
        <w:tc>
          <w:tcPr>
            <w:tcW w:w="1276" w:type="dxa"/>
            <w:tcBorders>
              <w:bottom w:val="single" w:sz="12" w:space="0" w:color="000000"/>
            </w:tcBorders>
          </w:tcPr>
          <w:p w:rsidR="007F6D61" w:rsidRPr="00C00012" w:rsidRDefault="007F6D61" w:rsidP="00135B6E">
            <w:pPr>
              <w:jc w:val="both"/>
              <w:rPr>
                <w:rFonts w:ascii="Arial" w:hAnsi="Arial" w:cs="Arial"/>
                <w:sz w:val="22"/>
                <w:szCs w:val="22"/>
                <w:lang w:eastAsia="en-GB"/>
              </w:rPr>
            </w:pPr>
            <w:r w:rsidRPr="00C00012">
              <w:rPr>
                <w:rFonts w:ascii="Arial" w:hAnsi="Arial" w:cs="Arial"/>
                <w:sz w:val="22"/>
                <w:szCs w:val="22"/>
                <w:lang w:eastAsia="en-GB"/>
              </w:rPr>
              <w:t>2.0</w:t>
            </w:r>
          </w:p>
        </w:tc>
        <w:tc>
          <w:tcPr>
            <w:tcW w:w="1951" w:type="dxa"/>
            <w:tcBorders>
              <w:bottom w:val="single" w:sz="12" w:space="0" w:color="000000"/>
            </w:tcBorders>
          </w:tcPr>
          <w:p w:rsidR="007F6D61" w:rsidRPr="00C00012" w:rsidRDefault="00AD77FC" w:rsidP="00135B6E">
            <w:pPr>
              <w:jc w:val="both"/>
              <w:rPr>
                <w:rFonts w:ascii="Arial" w:hAnsi="Arial" w:cs="Arial"/>
                <w:sz w:val="22"/>
                <w:szCs w:val="22"/>
                <w:lang w:eastAsia="en-GB"/>
              </w:rPr>
            </w:pPr>
            <w:r w:rsidRPr="00C00012">
              <w:rPr>
                <w:rFonts w:ascii="Arial" w:hAnsi="Arial" w:cs="Arial"/>
                <w:sz w:val="22"/>
                <w:szCs w:val="22"/>
                <w:lang w:eastAsia="en-GB"/>
              </w:rPr>
              <w:t>January 2017</w:t>
            </w:r>
          </w:p>
        </w:tc>
        <w:tc>
          <w:tcPr>
            <w:tcW w:w="5953" w:type="dxa"/>
            <w:tcBorders>
              <w:bottom w:val="single" w:sz="12" w:space="0" w:color="000000"/>
            </w:tcBorders>
          </w:tcPr>
          <w:p w:rsidR="007F6D61" w:rsidRPr="00C00012" w:rsidRDefault="007F6D61" w:rsidP="00135B6E">
            <w:pPr>
              <w:jc w:val="both"/>
              <w:rPr>
                <w:rFonts w:ascii="Arial" w:hAnsi="Arial" w:cs="Arial"/>
                <w:sz w:val="22"/>
                <w:szCs w:val="22"/>
                <w:lang w:eastAsia="en-GB"/>
              </w:rPr>
            </w:pPr>
            <w:r w:rsidRPr="00C00012">
              <w:rPr>
                <w:rFonts w:ascii="Arial" w:hAnsi="Arial" w:cs="Arial"/>
                <w:sz w:val="22"/>
                <w:szCs w:val="22"/>
                <w:lang w:eastAsia="en-GB"/>
              </w:rPr>
              <w:t>Amendments AB, KB, RW</w:t>
            </w:r>
          </w:p>
        </w:tc>
      </w:tr>
    </w:tbl>
    <w:p w:rsidR="00135B6E" w:rsidRPr="00C00012" w:rsidRDefault="00135B6E" w:rsidP="00135B6E">
      <w:pPr>
        <w:jc w:val="both"/>
        <w:rPr>
          <w:rFonts w:ascii="Arial" w:hAnsi="Arial" w:cs="Arial"/>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color w:val="000000"/>
          <w:sz w:val="22"/>
          <w:szCs w:val="22"/>
          <w:lang w:eastAsia="en-GB"/>
        </w:rPr>
      </w:pPr>
      <w:r w:rsidRPr="00C00012">
        <w:rPr>
          <w:rFonts w:ascii="Arial" w:hAnsi="Arial" w:cs="Arial"/>
          <w:b/>
          <w:color w:val="000000"/>
          <w:sz w:val="22"/>
          <w:szCs w:val="22"/>
          <w:lang w:eastAsia="en-GB"/>
        </w:rPr>
        <w:br w:type="page"/>
      </w:r>
      <w:r w:rsidRPr="00C00012">
        <w:rPr>
          <w:rFonts w:ascii="Arial" w:hAnsi="Arial" w:cs="Arial"/>
          <w:b/>
          <w:color w:val="000000"/>
          <w:sz w:val="22"/>
          <w:szCs w:val="22"/>
          <w:lang w:eastAsia="en-GB"/>
        </w:rPr>
        <w:lastRenderedPageBreak/>
        <w:t>Appendix 1</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rPr>
          <w:rFonts w:ascii="Arial" w:hAnsi="Arial" w:cs="Arial"/>
          <w:b/>
          <w:color w:val="000000"/>
          <w:sz w:val="22"/>
          <w:szCs w:val="22"/>
          <w:lang w:eastAsia="en-GB"/>
        </w:rPr>
      </w:pPr>
      <w:r w:rsidRPr="00C00012">
        <w:rPr>
          <w:rFonts w:ascii="Arial" w:hAnsi="Arial" w:cs="Arial"/>
          <w:b/>
          <w:color w:val="000000"/>
          <w:sz w:val="22"/>
          <w:szCs w:val="22"/>
          <w:lang w:eastAsia="en-GB"/>
        </w:rPr>
        <w:t>Roles and responsibilities</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color w:val="000000"/>
          <w:sz w:val="22"/>
          <w:szCs w:val="22"/>
          <w:lang w:eastAsia="en-GB"/>
        </w:rPr>
      </w:pPr>
      <w:r w:rsidRPr="00C00012">
        <w:rPr>
          <w:rFonts w:ascii="Arial" w:hAnsi="Arial" w:cs="Arial"/>
          <w:color w:val="000000"/>
          <w:sz w:val="22"/>
          <w:szCs w:val="22"/>
          <w:lang w:eastAsia="en-GB"/>
        </w:rPr>
        <w:t>All staff involved with managing TIDs should have undergone Equality &amp; Diversity training within the past 3 years.</w:t>
      </w:r>
    </w:p>
    <w:p w:rsidR="00135B6E" w:rsidRPr="00C00012" w:rsidRDefault="00135B6E" w:rsidP="00135B6E">
      <w:pPr>
        <w:rPr>
          <w:rFonts w:ascii="Arial" w:hAnsi="Arial" w:cs="Arial"/>
          <w:b/>
          <w:color w:val="000000"/>
          <w:sz w:val="22"/>
          <w:szCs w:val="22"/>
          <w:u w:val="single"/>
          <w:lang w:eastAsia="en-GB"/>
        </w:rPr>
      </w:pPr>
    </w:p>
    <w:p w:rsidR="00135B6E" w:rsidRPr="00C00012" w:rsidRDefault="00135B6E" w:rsidP="00135B6E">
      <w:pPr>
        <w:rPr>
          <w:rFonts w:ascii="Arial" w:hAnsi="Arial" w:cs="Arial"/>
          <w:b/>
          <w:color w:val="000000"/>
          <w:sz w:val="22"/>
          <w:szCs w:val="22"/>
          <w:lang w:eastAsia="en-GB"/>
        </w:rPr>
      </w:pPr>
      <w:r w:rsidRPr="00C00012">
        <w:rPr>
          <w:rFonts w:ascii="Arial" w:hAnsi="Arial" w:cs="Arial"/>
          <w:b/>
          <w:color w:val="000000"/>
          <w:sz w:val="22"/>
          <w:szCs w:val="22"/>
          <w:lang w:eastAsia="en-GB"/>
        </w:rPr>
        <w:t>Trainee</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numPr>
          <w:ilvl w:val="0"/>
          <w:numId w:val="6"/>
        </w:numPr>
        <w:ind w:left="360"/>
        <w:rPr>
          <w:rFonts w:ascii="Arial" w:hAnsi="Arial" w:cs="Arial"/>
          <w:color w:val="000000"/>
          <w:sz w:val="22"/>
          <w:szCs w:val="22"/>
          <w:lang w:eastAsia="en-GB"/>
        </w:rPr>
      </w:pPr>
      <w:r w:rsidRPr="00C00012">
        <w:rPr>
          <w:rFonts w:ascii="Arial" w:hAnsi="Arial" w:cs="Arial"/>
          <w:color w:val="000000"/>
          <w:sz w:val="22"/>
          <w:szCs w:val="22"/>
          <w:lang w:eastAsia="en-GB"/>
        </w:rPr>
        <w:t>As a registered medical practitioner, the trainee has an individual responsibility to practice and abide by the principles enshrined in “Good Medical Practice” and all other GMC Guidance for doctors.</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numPr>
          <w:ilvl w:val="0"/>
          <w:numId w:val="6"/>
        </w:numPr>
        <w:ind w:left="360"/>
        <w:rPr>
          <w:rFonts w:ascii="Arial" w:hAnsi="Arial" w:cs="Arial"/>
          <w:color w:val="000000"/>
          <w:sz w:val="22"/>
          <w:szCs w:val="22"/>
          <w:lang w:eastAsia="en-GB"/>
        </w:rPr>
      </w:pPr>
      <w:r w:rsidRPr="00C00012">
        <w:rPr>
          <w:rFonts w:ascii="Arial" w:hAnsi="Arial" w:cs="Arial"/>
          <w:color w:val="000000"/>
          <w:sz w:val="22"/>
          <w:szCs w:val="22"/>
          <w:lang w:eastAsia="en-GB"/>
        </w:rPr>
        <w:t>As</w:t>
      </w:r>
      <w:r w:rsidRPr="00C00012">
        <w:rPr>
          <w:rFonts w:ascii="Arial" w:hAnsi="Arial" w:cs="Arial"/>
          <w:b/>
          <w:color w:val="000000"/>
          <w:sz w:val="22"/>
          <w:szCs w:val="22"/>
          <w:lang w:eastAsia="en-GB"/>
        </w:rPr>
        <w:t xml:space="preserve"> </w:t>
      </w:r>
      <w:r w:rsidRPr="00C00012">
        <w:rPr>
          <w:rFonts w:ascii="Arial" w:hAnsi="Arial" w:cs="Arial"/>
          <w:color w:val="000000"/>
          <w:sz w:val="22"/>
          <w:szCs w:val="22"/>
          <w:lang w:eastAsia="en-GB"/>
        </w:rPr>
        <w:t>an employee of a NHS body (a Trust or General Practice), the trainee has a contractual relationship with his / her employer and is subject to local and national terms and conditions of employment. This will include compliance with clinical accountability and governance frameworks in addition to the employer’s HR policies and procedures.</w:t>
      </w:r>
    </w:p>
    <w:p w:rsidR="00135B6E" w:rsidRPr="00C00012" w:rsidRDefault="00135B6E" w:rsidP="00135B6E">
      <w:pPr>
        <w:ind w:firstLine="60"/>
        <w:rPr>
          <w:rFonts w:ascii="Arial" w:hAnsi="Arial" w:cs="Arial"/>
          <w:color w:val="000000"/>
          <w:sz w:val="22"/>
          <w:szCs w:val="22"/>
          <w:lang w:eastAsia="en-GB"/>
        </w:rPr>
      </w:pPr>
    </w:p>
    <w:p w:rsidR="00135B6E" w:rsidRPr="00C00012" w:rsidRDefault="00135B6E" w:rsidP="00135B6E">
      <w:pPr>
        <w:numPr>
          <w:ilvl w:val="0"/>
          <w:numId w:val="6"/>
        </w:numPr>
        <w:ind w:left="360"/>
        <w:rPr>
          <w:rFonts w:ascii="Arial" w:hAnsi="Arial" w:cs="Arial"/>
          <w:color w:val="000000"/>
          <w:sz w:val="22"/>
          <w:szCs w:val="22"/>
          <w:lang w:eastAsia="en-GB"/>
        </w:rPr>
      </w:pPr>
      <w:r w:rsidRPr="00C00012">
        <w:rPr>
          <w:rFonts w:ascii="Arial" w:hAnsi="Arial" w:cs="Arial"/>
          <w:color w:val="000000"/>
          <w:sz w:val="22"/>
          <w:szCs w:val="22"/>
          <w:lang w:eastAsia="en-GB"/>
        </w:rPr>
        <w:t xml:space="preserve">As members of a training programme, trainees have a responsibility to fully engage with the educational process at all stages of their training, including taking the initiative to seek help and guidance from their local education provider (LEP) and / or HEE, EoE if they become aware they are experiencing difficulty. The trainee is also required to complete and provide the necessary evidence to demonstrate their progress through the training programme and the acquisition of the required skills and competencies, including Workplace Based Assessments, and to maintain their training portfolio. </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numPr>
          <w:ilvl w:val="0"/>
          <w:numId w:val="6"/>
        </w:numPr>
        <w:ind w:left="360"/>
        <w:rPr>
          <w:rFonts w:ascii="Arial" w:hAnsi="Arial" w:cs="Arial"/>
          <w:color w:val="000000"/>
          <w:sz w:val="22"/>
          <w:szCs w:val="22"/>
          <w:lang w:eastAsia="en-GB"/>
        </w:rPr>
      </w:pPr>
      <w:r w:rsidRPr="00C00012">
        <w:rPr>
          <w:rFonts w:ascii="Arial" w:hAnsi="Arial" w:cs="Arial"/>
          <w:color w:val="000000"/>
          <w:sz w:val="22"/>
          <w:szCs w:val="22"/>
          <w:lang w:eastAsia="en-GB"/>
        </w:rPr>
        <w:t xml:space="preserve">Trainees should inform their training programme director and where relevant, their employer if they are the subject of a formal complaint, involved in a serious untoward incident or if they are referred to the GMC. Similarly, if HEE, </w:t>
      </w:r>
      <w:proofErr w:type="gramStart"/>
      <w:r w:rsidRPr="00C00012">
        <w:rPr>
          <w:rFonts w:ascii="Arial" w:hAnsi="Arial" w:cs="Arial"/>
          <w:color w:val="000000"/>
          <w:sz w:val="22"/>
          <w:szCs w:val="22"/>
          <w:lang w:eastAsia="en-GB"/>
        </w:rPr>
        <w:t>EoE</w:t>
      </w:r>
      <w:proofErr w:type="gramEnd"/>
      <w:r w:rsidRPr="00C00012">
        <w:rPr>
          <w:rFonts w:ascii="Arial" w:hAnsi="Arial" w:cs="Arial"/>
          <w:color w:val="000000"/>
          <w:sz w:val="22"/>
          <w:szCs w:val="22"/>
          <w:lang w:eastAsia="en-GB"/>
        </w:rPr>
        <w:t xml:space="preserve"> or employing body receives information from the GMC concerning a trainee, they should inform the trainee and his / her employer.</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r w:rsidRPr="00C00012">
        <w:rPr>
          <w:rFonts w:ascii="Arial" w:hAnsi="Arial" w:cs="Arial"/>
          <w:b/>
          <w:color w:val="000000"/>
          <w:sz w:val="22"/>
          <w:szCs w:val="22"/>
          <w:lang w:eastAsia="en-GB"/>
        </w:rPr>
        <w:t>The Employer / Local Education Provider (LEP)</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numPr>
          <w:ilvl w:val="0"/>
          <w:numId w:val="5"/>
        </w:numPr>
        <w:rPr>
          <w:rFonts w:ascii="Arial" w:hAnsi="Arial" w:cs="Arial"/>
          <w:color w:val="000000"/>
          <w:sz w:val="22"/>
          <w:szCs w:val="22"/>
          <w:lang w:eastAsia="en-GB"/>
        </w:rPr>
      </w:pPr>
      <w:r w:rsidRPr="00C00012">
        <w:rPr>
          <w:rFonts w:ascii="Arial" w:hAnsi="Arial" w:cs="Arial"/>
          <w:color w:val="000000"/>
          <w:sz w:val="22"/>
          <w:szCs w:val="22"/>
          <w:lang w:eastAsia="en-GB"/>
        </w:rPr>
        <w:t xml:space="preserve">The employing organisation must ensure that employment laws are upheld and employer responsibilities implemented through robust policies and procedures. They are directly responsible for the management of performance and disciplinary matters, and for ensuring that issues identified are addressed in a proportionate, timely and objective way. LEPs should have well developed processes covering clinical governance and the identification, support and management of doctors whose conduct, health or performance is giving rise for concern. </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numPr>
          <w:ilvl w:val="0"/>
          <w:numId w:val="5"/>
        </w:numPr>
        <w:rPr>
          <w:rFonts w:ascii="Arial" w:hAnsi="Arial" w:cs="Arial"/>
          <w:color w:val="000000"/>
          <w:sz w:val="22"/>
          <w:szCs w:val="22"/>
          <w:lang w:eastAsia="en-GB"/>
        </w:rPr>
      </w:pPr>
      <w:r w:rsidRPr="00C00012">
        <w:rPr>
          <w:rFonts w:ascii="Arial" w:hAnsi="Arial" w:cs="Arial"/>
          <w:color w:val="000000"/>
          <w:sz w:val="22"/>
          <w:szCs w:val="22"/>
          <w:lang w:eastAsia="en-GB"/>
        </w:rPr>
        <w:t>Employing organisations also have a contractual responsibility to provide Practice / Trust and Departmental induction, appraisal, assessment, counselling and pastoral care for doctors in training as well as Occupational Health services as detailed in Appendix 6a of the Local Development Agreement (LDA) between the LEP and Health Education East of England and the Quality Management Framework for PGMDE.</w:t>
      </w:r>
    </w:p>
    <w:p w:rsidR="00135B6E" w:rsidRPr="00C00012" w:rsidRDefault="00135B6E" w:rsidP="00135B6E">
      <w:pPr>
        <w:ind w:firstLine="60"/>
        <w:rPr>
          <w:rFonts w:ascii="Arial" w:hAnsi="Arial" w:cs="Arial"/>
          <w:color w:val="000000"/>
          <w:sz w:val="22"/>
          <w:szCs w:val="22"/>
          <w:lang w:eastAsia="en-GB"/>
        </w:rPr>
      </w:pPr>
    </w:p>
    <w:p w:rsidR="00135B6E" w:rsidRPr="00C00012" w:rsidRDefault="00135B6E" w:rsidP="00135B6E">
      <w:pPr>
        <w:numPr>
          <w:ilvl w:val="0"/>
          <w:numId w:val="5"/>
        </w:numPr>
        <w:spacing w:after="89"/>
        <w:rPr>
          <w:rFonts w:ascii="Arial" w:hAnsi="Arial" w:cs="Arial"/>
          <w:color w:val="000000"/>
          <w:sz w:val="22"/>
          <w:szCs w:val="22"/>
          <w:lang w:eastAsia="en-GB"/>
        </w:rPr>
      </w:pPr>
      <w:r w:rsidRPr="00C00012">
        <w:rPr>
          <w:rFonts w:ascii="Arial" w:hAnsi="Arial" w:cs="Arial"/>
          <w:color w:val="000000"/>
          <w:sz w:val="22"/>
          <w:szCs w:val="22"/>
          <w:lang w:eastAsia="en-GB"/>
        </w:rPr>
        <w:t xml:space="preserve">Within the employer, Clinical or Educational Supervisors, the Foundation Training Programme Directors, and / or Clinical Tutor/Director of Medical Education may be involved in the identification, support and management of a trainee in difficulty. For this reason it is imperative that employers in partnership with HEE, </w:t>
      </w:r>
      <w:proofErr w:type="gramStart"/>
      <w:r w:rsidRPr="00C00012">
        <w:rPr>
          <w:rFonts w:ascii="Arial" w:hAnsi="Arial" w:cs="Arial"/>
          <w:color w:val="000000"/>
          <w:sz w:val="22"/>
          <w:szCs w:val="22"/>
          <w:lang w:eastAsia="en-GB"/>
        </w:rPr>
        <w:t>EoE</w:t>
      </w:r>
      <w:proofErr w:type="gramEnd"/>
      <w:r w:rsidRPr="00C00012">
        <w:rPr>
          <w:rFonts w:ascii="Arial" w:hAnsi="Arial" w:cs="Arial"/>
          <w:color w:val="000000"/>
          <w:sz w:val="22"/>
          <w:szCs w:val="22"/>
          <w:lang w:eastAsia="en-GB"/>
        </w:rPr>
        <w:t xml:space="preserve"> ensure that these individuals receive adequate training in the management of TIDs. </w:t>
      </w:r>
    </w:p>
    <w:p w:rsidR="00135B6E" w:rsidRPr="00C00012" w:rsidRDefault="00135B6E" w:rsidP="00135B6E">
      <w:pPr>
        <w:ind w:left="720"/>
        <w:rPr>
          <w:rFonts w:ascii="Arial" w:hAnsi="Arial" w:cs="Arial"/>
          <w:color w:val="000000"/>
          <w:sz w:val="22"/>
          <w:szCs w:val="22"/>
          <w:lang w:eastAsia="en-GB"/>
        </w:rPr>
      </w:pPr>
    </w:p>
    <w:p w:rsidR="00135B6E" w:rsidRPr="00C00012" w:rsidRDefault="00135B6E" w:rsidP="00135B6E">
      <w:pPr>
        <w:spacing w:after="89"/>
        <w:ind w:left="360"/>
        <w:rPr>
          <w:rFonts w:ascii="Arial" w:hAnsi="Arial" w:cs="Arial"/>
          <w:color w:val="000000"/>
          <w:sz w:val="22"/>
          <w:szCs w:val="22"/>
          <w:lang w:eastAsia="en-GB"/>
        </w:rPr>
      </w:pPr>
      <w:r w:rsidRPr="00C00012">
        <w:rPr>
          <w:rFonts w:ascii="Arial" w:hAnsi="Arial" w:cs="Arial"/>
          <w:color w:val="000000"/>
          <w:sz w:val="22"/>
          <w:szCs w:val="22"/>
          <w:lang w:eastAsia="en-GB"/>
        </w:rPr>
        <w:lastRenderedPageBreak/>
        <w:t>This training should emphasise that it is one of the duties of a Doctor to act without delay if they have good reason to believe that a colleague may be putting patients at risk. In addition, LEPs should develop a culture where trainers know that if they have serious concerns about a trainee</w:t>
      </w:r>
    </w:p>
    <w:p w:rsidR="00135B6E" w:rsidRPr="00C00012" w:rsidRDefault="00135B6E" w:rsidP="00135B6E">
      <w:pPr>
        <w:numPr>
          <w:ilvl w:val="4"/>
          <w:numId w:val="16"/>
        </w:numPr>
        <w:spacing w:after="89"/>
        <w:rPr>
          <w:rFonts w:ascii="Arial" w:hAnsi="Arial" w:cs="Arial"/>
          <w:color w:val="000000"/>
          <w:sz w:val="22"/>
          <w:szCs w:val="22"/>
          <w:lang w:eastAsia="en-GB"/>
        </w:rPr>
      </w:pPr>
      <w:r w:rsidRPr="00C00012">
        <w:rPr>
          <w:rFonts w:ascii="Arial" w:hAnsi="Arial" w:cs="Arial"/>
          <w:color w:val="000000"/>
          <w:sz w:val="22"/>
          <w:szCs w:val="22"/>
          <w:lang w:eastAsia="en-GB"/>
        </w:rPr>
        <w:t>They will be expected to formally document these</w:t>
      </w:r>
    </w:p>
    <w:p w:rsidR="00135B6E" w:rsidRPr="00C00012" w:rsidRDefault="00135B6E" w:rsidP="00135B6E">
      <w:pPr>
        <w:numPr>
          <w:ilvl w:val="4"/>
          <w:numId w:val="16"/>
        </w:numPr>
        <w:spacing w:after="89"/>
        <w:rPr>
          <w:rFonts w:ascii="Arial" w:hAnsi="Arial" w:cs="Arial"/>
          <w:color w:val="000000"/>
          <w:sz w:val="22"/>
          <w:szCs w:val="22"/>
          <w:lang w:eastAsia="en-GB"/>
        </w:rPr>
      </w:pPr>
      <w:r w:rsidRPr="00C00012">
        <w:rPr>
          <w:rFonts w:ascii="Arial" w:hAnsi="Arial" w:cs="Arial"/>
          <w:color w:val="000000"/>
          <w:sz w:val="22"/>
          <w:szCs w:val="22"/>
          <w:lang w:eastAsia="en-GB"/>
        </w:rPr>
        <w:t xml:space="preserve">They will be supported if they do so. </w:t>
      </w:r>
    </w:p>
    <w:p w:rsidR="00135B6E" w:rsidRPr="00C00012" w:rsidRDefault="00135B6E" w:rsidP="00135B6E">
      <w:pPr>
        <w:spacing w:after="89"/>
        <w:rPr>
          <w:rFonts w:ascii="Arial" w:hAnsi="Arial" w:cs="Arial"/>
          <w:color w:val="000000"/>
          <w:sz w:val="22"/>
          <w:szCs w:val="22"/>
          <w:lang w:eastAsia="en-GB"/>
        </w:rPr>
      </w:pPr>
    </w:p>
    <w:p w:rsidR="00135B6E" w:rsidRPr="00C00012" w:rsidRDefault="00135B6E" w:rsidP="00135B6E">
      <w:pPr>
        <w:numPr>
          <w:ilvl w:val="0"/>
          <w:numId w:val="8"/>
        </w:numPr>
        <w:tabs>
          <w:tab w:val="num" w:pos="426"/>
        </w:tabs>
        <w:spacing w:after="89"/>
        <w:ind w:left="426" w:hanging="426"/>
        <w:rPr>
          <w:rFonts w:ascii="Arial" w:hAnsi="Arial" w:cs="Arial"/>
          <w:color w:val="000000"/>
          <w:sz w:val="22"/>
          <w:szCs w:val="22"/>
          <w:lang w:eastAsia="en-GB"/>
        </w:rPr>
      </w:pPr>
      <w:r w:rsidRPr="00C00012">
        <w:rPr>
          <w:rFonts w:ascii="Arial" w:hAnsi="Arial" w:cs="Arial"/>
          <w:color w:val="000000"/>
          <w:sz w:val="22"/>
          <w:szCs w:val="22"/>
          <w:lang w:eastAsia="en-GB"/>
        </w:rPr>
        <w:t>Educational Supervisors / College Tutors must also inform the TPD immediately of any trainee whose performance they deem to be sufficiently impaired as to lead to the possible award of an adverse ARCP outcome</w:t>
      </w:r>
    </w:p>
    <w:p w:rsidR="00135B6E" w:rsidRPr="00C00012" w:rsidRDefault="00135B6E" w:rsidP="00135B6E">
      <w:pPr>
        <w:numPr>
          <w:ilvl w:val="0"/>
          <w:numId w:val="5"/>
        </w:numPr>
        <w:rPr>
          <w:rFonts w:ascii="Arial" w:hAnsi="Arial" w:cs="Arial"/>
          <w:color w:val="000000"/>
          <w:sz w:val="22"/>
          <w:szCs w:val="22"/>
          <w:lang w:eastAsia="en-GB"/>
        </w:rPr>
      </w:pPr>
      <w:r w:rsidRPr="00C00012">
        <w:rPr>
          <w:rFonts w:ascii="Arial" w:hAnsi="Arial" w:cs="Arial"/>
          <w:color w:val="000000"/>
          <w:sz w:val="22"/>
          <w:szCs w:val="22"/>
          <w:lang w:eastAsia="en-GB"/>
        </w:rPr>
        <w:t>When a trainee in difficulty is identified the LEP is required to carry out an immediate risk assessment to ensure patient safety. If it is felt that there is a significant risk to patients, the trainee, the trainee’s colleagues, the LEP or HEE, EoE, the trainee’s duties should be modified in order to reduce that risk; this may involve removing the trainee from the clinical environment</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numPr>
          <w:ilvl w:val="0"/>
          <w:numId w:val="5"/>
        </w:numPr>
        <w:rPr>
          <w:rFonts w:ascii="Arial" w:hAnsi="Arial" w:cs="Arial"/>
          <w:color w:val="000000"/>
          <w:sz w:val="22"/>
          <w:szCs w:val="22"/>
          <w:lang w:eastAsia="en-GB"/>
        </w:rPr>
      </w:pPr>
      <w:r w:rsidRPr="00C00012">
        <w:rPr>
          <w:rFonts w:ascii="Arial" w:hAnsi="Arial" w:cs="Arial"/>
          <w:color w:val="000000"/>
          <w:sz w:val="22"/>
          <w:szCs w:val="22"/>
          <w:lang w:eastAsia="en-GB"/>
        </w:rPr>
        <w:t xml:space="preserve">Additional local support for both the trainee and the trainee’s supervisors should also be provided as appropriate by College Tutors, Clinical, Practice and General Managers, Human Resources Departments, Occupational Health departments and the Medical Director of the Trust or Primary Care Trust (PCT) or equivalent. </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numPr>
          <w:ilvl w:val="0"/>
          <w:numId w:val="5"/>
        </w:numPr>
        <w:rPr>
          <w:rFonts w:ascii="Arial" w:hAnsi="Arial" w:cs="Arial"/>
          <w:color w:val="000000"/>
          <w:sz w:val="22"/>
          <w:szCs w:val="22"/>
          <w:lang w:eastAsia="en-GB"/>
        </w:rPr>
      </w:pPr>
      <w:r w:rsidRPr="00C00012">
        <w:rPr>
          <w:rFonts w:ascii="Arial" w:hAnsi="Arial" w:cs="Arial"/>
          <w:color w:val="000000"/>
          <w:sz w:val="22"/>
          <w:szCs w:val="22"/>
          <w:lang w:eastAsia="en-GB"/>
        </w:rPr>
        <w:t xml:space="preserve">LEPs are required to inform HEE, </w:t>
      </w:r>
      <w:proofErr w:type="gramStart"/>
      <w:r w:rsidRPr="00C00012">
        <w:rPr>
          <w:rFonts w:ascii="Arial" w:hAnsi="Arial" w:cs="Arial"/>
          <w:color w:val="000000"/>
          <w:sz w:val="22"/>
          <w:szCs w:val="22"/>
          <w:lang w:eastAsia="en-GB"/>
        </w:rPr>
        <w:t>EoE</w:t>
      </w:r>
      <w:proofErr w:type="gramEnd"/>
      <w:r w:rsidRPr="00C00012">
        <w:rPr>
          <w:rFonts w:ascii="Arial" w:hAnsi="Arial" w:cs="Arial"/>
          <w:color w:val="000000"/>
          <w:sz w:val="22"/>
          <w:szCs w:val="22"/>
          <w:lang w:eastAsia="en-GB"/>
        </w:rPr>
        <w:t xml:space="preserve"> of any instance involving a trainee that leads to the employer undertaking any investigation into the conduct of a trainee and any disciplinary actions taken including serious untoward incidents and referrals to NCAS or the GMC. In the case of a GP specialty trainee (GPST) they must also inform the PCT.</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rPr>
          <w:rFonts w:ascii="Arial" w:hAnsi="Arial" w:cs="Arial"/>
          <w:b/>
          <w:color w:val="000000"/>
          <w:sz w:val="22"/>
          <w:szCs w:val="22"/>
          <w:lang w:eastAsia="en-GB"/>
        </w:rPr>
      </w:pPr>
      <w:r w:rsidRPr="00C00012">
        <w:rPr>
          <w:rFonts w:ascii="Arial" w:hAnsi="Arial" w:cs="Arial"/>
          <w:b/>
          <w:color w:val="000000"/>
          <w:sz w:val="22"/>
          <w:szCs w:val="22"/>
          <w:lang w:eastAsia="en-GB"/>
        </w:rPr>
        <w:t>Health Education East of England</w:t>
      </w:r>
      <w:r w:rsidRPr="00C00012">
        <w:rPr>
          <w:rFonts w:ascii="Arial" w:hAnsi="Arial" w:cs="Arial"/>
          <w:b/>
          <w:color w:val="000000"/>
          <w:sz w:val="22"/>
          <w:szCs w:val="22"/>
          <w:lang w:eastAsia="en-GB"/>
        </w:rPr>
        <w:br/>
      </w:r>
    </w:p>
    <w:p w:rsidR="00135B6E" w:rsidRPr="00C00012" w:rsidRDefault="00135B6E" w:rsidP="00135B6E">
      <w:pPr>
        <w:rPr>
          <w:rFonts w:ascii="Arial" w:hAnsi="Arial" w:cs="Arial"/>
          <w:color w:val="000000"/>
          <w:sz w:val="22"/>
          <w:szCs w:val="22"/>
          <w:lang w:eastAsia="en-GB"/>
        </w:rPr>
      </w:pPr>
      <w:r w:rsidRPr="00C00012">
        <w:rPr>
          <w:rFonts w:ascii="Arial" w:hAnsi="Arial" w:cs="Arial"/>
          <w:color w:val="000000"/>
          <w:sz w:val="22"/>
          <w:szCs w:val="22"/>
          <w:lang w:eastAsia="en-GB"/>
        </w:rPr>
        <w:t xml:space="preserve">HEE, </w:t>
      </w:r>
      <w:proofErr w:type="gramStart"/>
      <w:r w:rsidRPr="00C00012">
        <w:rPr>
          <w:rFonts w:ascii="Arial" w:hAnsi="Arial" w:cs="Arial"/>
          <w:color w:val="000000"/>
          <w:sz w:val="22"/>
          <w:szCs w:val="22"/>
          <w:lang w:eastAsia="en-GB"/>
        </w:rPr>
        <w:t>EoE</w:t>
      </w:r>
      <w:proofErr w:type="gramEnd"/>
      <w:r w:rsidRPr="00C00012">
        <w:rPr>
          <w:rFonts w:ascii="Arial" w:hAnsi="Arial" w:cs="Arial"/>
          <w:color w:val="000000"/>
          <w:sz w:val="22"/>
          <w:szCs w:val="22"/>
          <w:lang w:eastAsia="en-GB"/>
        </w:rPr>
        <w:t xml:space="preserve"> is responsible for ensuring the quality management of postgraduate medical education to the standards determined by the GMC and to have systems in place to respond quickly to any concerns raised. </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rPr>
          <w:rFonts w:ascii="Arial" w:hAnsi="Arial" w:cs="Arial"/>
          <w:color w:val="000000"/>
          <w:sz w:val="22"/>
          <w:szCs w:val="22"/>
          <w:lang w:eastAsia="en-GB"/>
        </w:rPr>
      </w:pPr>
      <w:r w:rsidRPr="00C00012">
        <w:rPr>
          <w:rFonts w:ascii="Arial" w:hAnsi="Arial" w:cs="Arial"/>
          <w:color w:val="000000"/>
          <w:sz w:val="22"/>
          <w:szCs w:val="22"/>
          <w:lang w:eastAsia="en-GB"/>
        </w:rPr>
        <w:t xml:space="preserve">HEE, </w:t>
      </w:r>
      <w:proofErr w:type="gramStart"/>
      <w:r w:rsidRPr="00C00012">
        <w:rPr>
          <w:rFonts w:ascii="Arial" w:hAnsi="Arial" w:cs="Arial"/>
          <w:color w:val="000000"/>
          <w:sz w:val="22"/>
          <w:szCs w:val="22"/>
          <w:lang w:eastAsia="en-GB"/>
        </w:rPr>
        <w:t>EoE</w:t>
      </w:r>
      <w:proofErr w:type="gramEnd"/>
      <w:r w:rsidRPr="00C00012">
        <w:rPr>
          <w:rFonts w:ascii="Arial" w:hAnsi="Arial" w:cs="Arial"/>
          <w:color w:val="000000"/>
          <w:sz w:val="22"/>
          <w:szCs w:val="22"/>
          <w:lang w:eastAsia="en-GB"/>
        </w:rPr>
        <w:t xml:space="preserve"> has structures and processes in place for educational governance and operational educational frameworks led by the TPDs overseen by local Postgraduate Schools Boards under the supervision and guidance of Heads of School, the Associate Deans and the Postgraduate Dean / Postgraduate GP Dean.  </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numPr>
          <w:ilvl w:val="0"/>
          <w:numId w:val="7"/>
        </w:numPr>
        <w:ind w:left="360"/>
        <w:rPr>
          <w:rFonts w:ascii="Arial" w:hAnsi="Arial" w:cs="Arial"/>
          <w:color w:val="000000"/>
          <w:sz w:val="22"/>
          <w:szCs w:val="22"/>
          <w:lang w:eastAsia="en-GB"/>
        </w:rPr>
      </w:pPr>
      <w:r w:rsidRPr="00C00012">
        <w:rPr>
          <w:rFonts w:ascii="Arial" w:hAnsi="Arial" w:cs="Arial"/>
          <w:color w:val="000000"/>
          <w:sz w:val="22"/>
          <w:szCs w:val="22"/>
          <w:lang w:eastAsia="en-GB"/>
        </w:rPr>
        <w:t>Advice from within the Speciality must be available for trainers and will generally be provided through the relevant Training Programme Director (TPD) who is likely to also arrange to interview the trainee. Specialty TPDs will be supported in their role by the Head of School / Lead for Trainees in Difficulty of the appropriate Specialty School and / or the Specialty Associate Dean. The latter should be included in all information transfer regarding such matters.</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numPr>
          <w:ilvl w:val="0"/>
          <w:numId w:val="7"/>
        </w:numPr>
        <w:ind w:left="360"/>
        <w:rPr>
          <w:rFonts w:ascii="Arial" w:hAnsi="Arial" w:cs="Arial"/>
          <w:color w:val="000000"/>
          <w:sz w:val="22"/>
          <w:szCs w:val="22"/>
          <w:lang w:eastAsia="en-GB"/>
        </w:rPr>
      </w:pPr>
      <w:r w:rsidRPr="00C00012">
        <w:rPr>
          <w:rFonts w:ascii="Arial" w:hAnsi="Arial" w:cs="Arial"/>
          <w:color w:val="000000"/>
          <w:sz w:val="22"/>
          <w:szCs w:val="22"/>
          <w:lang w:eastAsia="en-GB"/>
        </w:rPr>
        <w:t xml:space="preserve">Whenever there is a need for HEE, </w:t>
      </w:r>
      <w:proofErr w:type="gramStart"/>
      <w:r w:rsidRPr="00C00012">
        <w:rPr>
          <w:rFonts w:ascii="Arial" w:hAnsi="Arial" w:cs="Arial"/>
          <w:color w:val="000000"/>
          <w:sz w:val="22"/>
          <w:szCs w:val="22"/>
          <w:lang w:eastAsia="en-GB"/>
        </w:rPr>
        <w:t>EoE</w:t>
      </w:r>
      <w:proofErr w:type="gramEnd"/>
      <w:r w:rsidRPr="00C00012">
        <w:rPr>
          <w:rFonts w:ascii="Arial" w:hAnsi="Arial" w:cs="Arial"/>
          <w:color w:val="000000"/>
          <w:sz w:val="22"/>
          <w:szCs w:val="22"/>
          <w:lang w:eastAsia="en-GB"/>
        </w:rPr>
        <w:t xml:space="preserve"> to initiate additional educational support over and above that required in a typical programme an appropriate action plan will be developed, usually in cooperation with the trainee concerned.  Records of all meetings must be contemporaneous and accurate; all parties should agree these records. </w:t>
      </w:r>
    </w:p>
    <w:p w:rsidR="00135B6E" w:rsidRPr="00C00012" w:rsidRDefault="00135B6E" w:rsidP="00135B6E">
      <w:pPr>
        <w:ind w:left="360"/>
        <w:rPr>
          <w:rFonts w:ascii="Arial" w:hAnsi="Arial" w:cs="Arial"/>
          <w:color w:val="000000"/>
          <w:sz w:val="22"/>
          <w:szCs w:val="22"/>
          <w:lang w:eastAsia="en-GB"/>
        </w:rPr>
      </w:pPr>
    </w:p>
    <w:p w:rsidR="00135B6E" w:rsidRPr="00C00012" w:rsidRDefault="00135B6E" w:rsidP="00135B6E">
      <w:pPr>
        <w:ind w:left="360"/>
        <w:rPr>
          <w:rFonts w:ascii="Arial" w:hAnsi="Arial" w:cs="Arial"/>
          <w:color w:val="000000"/>
          <w:sz w:val="22"/>
          <w:szCs w:val="22"/>
          <w:lang w:eastAsia="en-GB"/>
        </w:rPr>
      </w:pPr>
      <w:r w:rsidRPr="00C00012">
        <w:rPr>
          <w:rFonts w:ascii="Arial" w:hAnsi="Arial" w:cs="Arial"/>
          <w:color w:val="000000"/>
          <w:sz w:val="22"/>
          <w:szCs w:val="22"/>
          <w:lang w:eastAsia="en-GB"/>
        </w:rPr>
        <w:t xml:space="preserve">A plan may involve a multi-professional approach although the Postgraduate Dean/GP Dean will maintain responsibility for the coordination of the educational provision for the trainee.  As necessary the delivery of this plan will usually be supervised through the TPD and monitored through the local Postgraduate Specialty School. HEE, </w:t>
      </w:r>
      <w:proofErr w:type="gramStart"/>
      <w:r w:rsidRPr="00C00012">
        <w:rPr>
          <w:rFonts w:ascii="Arial" w:hAnsi="Arial" w:cs="Arial"/>
          <w:color w:val="000000"/>
          <w:sz w:val="22"/>
          <w:szCs w:val="22"/>
          <w:lang w:eastAsia="en-GB"/>
        </w:rPr>
        <w:t>EoE</w:t>
      </w:r>
      <w:proofErr w:type="gramEnd"/>
      <w:r w:rsidRPr="00C00012">
        <w:rPr>
          <w:rFonts w:ascii="Arial" w:hAnsi="Arial" w:cs="Arial"/>
          <w:color w:val="000000"/>
          <w:sz w:val="22"/>
          <w:szCs w:val="22"/>
          <w:lang w:eastAsia="en-GB"/>
        </w:rPr>
        <w:t xml:space="preserve"> will keep the relevant Medical Director and Clinical Tutor informed of any matters of relevance to the employer/PCT/Trust pertaining to a trainee in difficulty.</w:t>
      </w: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b/>
          <w:color w:val="000000"/>
          <w:sz w:val="22"/>
          <w:szCs w:val="22"/>
          <w:lang w:eastAsia="en-GB"/>
        </w:rPr>
      </w:pPr>
    </w:p>
    <w:p w:rsidR="00135B6E" w:rsidRPr="00C00012" w:rsidRDefault="00135B6E" w:rsidP="00135B6E">
      <w:pPr>
        <w:rPr>
          <w:rFonts w:ascii="Arial" w:hAnsi="Arial" w:cs="Arial"/>
          <w:color w:val="000000"/>
          <w:sz w:val="22"/>
          <w:szCs w:val="22"/>
          <w:lang w:eastAsia="en-GB"/>
        </w:rPr>
      </w:pPr>
      <w:r w:rsidRPr="00C00012">
        <w:rPr>
          <w:rFonts w:ascii="Arial" w:hAnsi="Arial" w:cs="Arial"/>
          <w:b/>
          <w:color w:val="000000"/>
          <w:sz w:val="22"/>
          <w:szCs w:val="22"/>
          <w:lang w:eastAsia="en-GB"/>
        </w:rPr>
        <w:t xml:space="preserve">HEE, </w:t>
      </w:r>
      <w:proofErr w:type="gramStart"/>
      <w:r w:rsidRPr="00C00012">
        <w:rPr>
          <w:rFonts w:ascii="Arial" w:hAnsi="Arial" w:cs="Arial"/>
          <w:b/>
          <w:color w:val="000000"/>
          <w:sz w:val="22"/>
          <w:szCs w:val="22"/>
          <w:lang w:eastAsia="en-GB"/>
        </w:rPr>
        <w:t>EoE</w:t>
      </w:r>
      <w:proofErr w:type="gramEnd"/>
      <w:r w:rsidRPr="00C00012">
        <w:rPr>
          <w:rFonts w:ascii="Arial" w:hAnsi="Arial" w:cs="Arial"/>
          <w:b/>
          <w:color w:val="000000"/>
          <w:sz w:val="22"/>
          <w:szCs w:val="22"/>
          <w:lang w:eastAsia="en-GB"/>
        </w:rPr>
        <w:t xml:space="preserve"> is also responsible for trainer development. </w:t>
      </w:r>
      <w:r w:rsidRPr="00C00012">
        <w:rPr>
          <w:rFonts w:ascii="Arial" w:hAnsi="Arial" w:cs="Arial"/>
          <w:color w:val="000000"/>
          <w:sz w:val="22"/>
          <w:szCs w:val="22"/>
          <w:lang w:eastAsia="en-GB"/>
        </w:rPr>
        <w:t xml:space="preserve">Training to support the management of TIDs is provided within HEE, EoE Faculty Development programme. Specialty Associate Deans are also available to give advice to all those involved in this process and to help arrange further advice and support for trainees in difficulty and their trainers / supervisors. </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rPr>
          <w:rFonts w:ascii="Arial" w:hAnsi="Arial" w:cs="Arial"/>
          <w:color w:val="000000"/>
          <w:sz w:val="22"/>
          <w:szCs w:val="22"/>
          <w:lang w:eastAsia="en-GB"/>
        </w:rPr>
      </w:pPr>
      <w:r w:rsidRPr="00C00012">
        <w:rPr>
          <w:rFonts w:ascii="Arial" w:hAnsi="Arial" w:cs="Arial"/>
          <w:b/>
          <w:color w:val="000000"/>
          <w:sz w:val="22"/>
          <w:szCs w:val="22"/>
          <w:lang w:eastAsia="en-GB"/>
        </w:rPr>
        <w:t>National Clinical Assessment Service (NCAS)</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rPr>
          <w:rFonts w:ascii="Arial" w:hAnsi="Arial" w:cs="Arial"/>
          <w:color w:val="000000"/>
          <w:sz w:val="22"/>
          <w:szCs w:val="22"/>
          <w:lang w:eastAsia="en-GB"/>
        </w:rPr>
      </w:pPr>
      <w:r w:rsidRPr="00C00012">
        <w:rPr>
          <w:rFonts w:ascii="Arial" w:hAnsi="Arial" w:cs="Arial"/>
          <w:color w:val="000000"/>
          <w:sz w:val="22"/>
          <w:szCs w:val="22"/>
          <w:lang w:eastAsia="en-GB"/>
        </w:rPr>
        <w:t xml:space="preserve">The NCAS as part of the National Patient Safety Agency can offer specialist expertise in assessing complex issues of clinician performance. They can also offer management and specialist remediation advice. Employers / LEPs must consider referring any trainee suspended under their internal disciplinary process to NCAS and to inform HEE, </w:t>
      </w:r>
      <w:proofErr w:type="gramStart"/>
      <w:r w:rsidRPr="00C00012">
        <w:rPr>
          <w:rFonts w:ascii="Arial" w:hAnsi="Arial" w:cs="Arial"/>
          <w:color w:val="000000"/>
          <w:sz w:val="22"/>
          <w:szCs w:val="22"/>
          <w:lang w:eastAsia="en-GB"/>
        </w:rPr>
        <w:t>EoE</w:t>
      </w:r>
      <w:proofErr w:type="gramEnd"/>
      <w:r w:rsidRPr="00C00012">
        <w:rPr>
          <w:rFonts w:ascii="Arial" w:hAnsi="Arial" w:cs="Arial"/>
          <w:color w:val="000000"/>
          <w:sz w:val="22"/>
          <w:szCs w:val="22"/>
          <w:lang w:eastAsia="en-GB"/>
        </w:rPr>
        <w:t xml:space="preserve"> of this immediately.</w:t>
      </w:r>
    </w:p>
    <w:p w:rsidR="00135B6E" w:rsidRPr="00C00012" w:rsidRDefault="00135B6E" w:rsidP="00135B6E">
      <w:pPr>
        <w:rPr>
          <w:rFonts w:ascii="Arial" w:hAnsi="Arial" w:cs="Arial"/>
          <w:color w:val="000000"/>
          <w:sz w:val="22"/>
          <w:szCs w:val="22"/>
          <w:lang w:eastAsia="en-GB"/>
        </w:rPr>
      </w:pPr>
      <w:r w:rsidRPr="00C00012">
        <w:rPr>
          <w:rFonts w:ascii="Arial" w:hAnsi="Arial" w:cs="Arial"/>
          <w:color w:val="000000"/>
          <w:sz w:val="22"/>
          <w:szCs w:val="22"/>
          <w:lang w:eastAsia="en-GB"/>
        </w:rPr>
        <w:t xml:space="preserve"> </w:t>
      </w:r>
    </w:p>
    <w:p w:rsidR="00135B6E" w:rsidRPr="00C00012" w:rsidRDefault="00135B6E" w:rsidP="00135B6E">
      <w:pPr>
        <w:rPr>
          <w:rFonts w:ascii="Arial" w:hAnsi="Arial" w:cs="Arial"/>
          <w:b/>
          <w:color w:val="000000"/>
          <w:sz w:val="22"/>
          <w:szCs w:val="22"/>
          <w:lang w:eastAsia="en-GB"/>
        </w:rPr>
      </w:pPr>
      <w:r w:rsidRPr="00C00012">
        <w:rPr>
          <w:rFonts w:ascii="Arial" w:hAnsi="Arial" w:cs="Arial"/>
          <w:b/>
          <w:color w:val="000000"/>
          <w:sz w:val="22"/>
          <w:szCs w:val="22"/>
          <w:lang w:eastAsia="en-GB"/>
        </w:rPr>
        <w:t>General Medical Council (GMC)</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rPr>
          <w:rFonts w:ascii="Arial" w:hAnsi="Arial" w:cs="Arial"/>
          <w:color w:val="000000"/>
          <w:sz w:val="22"/>
          <w:szCs w:val="22"/>
          <w:lang w:eastAsia="en-GB"/>
        </w:rPr>
      </w:pPr>
      <w:r w:rsidRPr="00C00012">
        <w:rPr>
          <w:rFonts w:ascii="Arial" w:hAnsi="Arial" w:cs="Arial"/>
          <w:color w:val="000000"/>
          <w:sz w:val="22"/>
          <w:szCs w:val="22"/>
          <w:lang w:eastAsia="en-GB"/>
        </w:rPr>
        <w:t xml:space="preserve">The employer / LEP should involve the GMC in all cases when the doctor’s medical registration is called into question. All doctors are bound by the terms of the GMC’s Good Medical Practice, in particular, the responsibility to raise concerns about the fitness to practice of a trainee in difficulty independently of this guidance. </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rPr>
          <w:rFonts w:ascii="Arial" w:hAnsi="Arial" w:cs="Arial"/>
          <w:color w:val="000000"/>
          <w:sz w:val="22"/>
          <w:szCs w:val="22"/>
          <w:lang w:eastAsia="en-GB"/>
        </w:rPr>
      </w:pPr>
      <w:r w:rsidRPr="00C00012">
        <w:rPr>
          <w:rFonts w:ascii="Arial" w:hAnsi="Arial" w:cs="Arial"/>
          <w:color w:val="000000"/>
          <w:sz w:val="22"/>
          <w:szCs w:val="22"/>
          <w:lang w:eastAsia="en-GB"/>
        </w:rPr>
        <w:br w:type="page"/>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rPr>
          <w:rFonts w:ascii="Arial" w:hAnsi="Arial" w:cs="Arial"/>
          <w:b/>
          <w:color w:val="000000"/>
          <w:sz w:val="22"/>
          <w:szCs w:val="22"/>
          <w:lang w:eastAsia="en-GB"/>
        </w:rPr>
      </w:pPr>
      <w:r w:rsidRPr="00C00012">
        <w:rPr>
          <w:rFonts w:ascii="Arial" w:hAnsi="Arial" w:cs="Arial"/>
          <w:b/>
          <w:color w:val="000000"/>
          <w:sz w:val="22"/>
          <w:szCs w:val="22"/>
          <w:lang w:eastAsia="en-GB"/>
        </w:rPr>
        <w:t>Appendix 2</w:t>
      </w:r>
    </w:p>
    <w:p w:rsidR="00135B6E" w:rsidRPr="00C00012" w:rsidRDefault="00135B6E" w:rsidP="00135B6E">
      <w:pPr>
        <w:rPr>
          <w:rFonts w:ascii="Arial" w:hAnsi="Arial" w:cs="Arial"/>
          <w:b/>
          <w:color w:val="000000"/>
          <w:sz w:val="22"/>
          <w:szCs w:val="22"/>
          <w:u w:val="single"/>
          <w:lang w:eastAsia="en-GB"/>
        </w:rPr>
      </w:pPr>
    </w:p>
    <w:p w:rsidR="00135B6E" w:rsidRPr="00C00012" w:rsidRDefault="00135B6E" w:rsidP="00135B6E">
      <w:pPr>
        <w:rPr>
          <w:rFonts w:ascii="Arial" w:hAnsi="Arial" w:cs="Arial"/>
          <w:b/>
          <w:color w:val="000000"/>
          <w:sz w:val="22"/>
          <w:szCs w:val="22"/>
          <w:lang w:eastAsia="en-GB"/>
        </w:rPr>
      </w:pPr>
      <w:r w:rsidRPr="00C00012">
        <w:rPr>
          <w:rFonts w:ascii="Arial" w:hAnsi="Arial" w:cs="Arial"/>
          <w:b/>
          <w:color w:val="000000"/>
          <w:sz w:val="22"/>
          <w:szCs w:val="22"/>
          <w:lang w:eastAsia="en-GB"/>
        </w:rPr>
        <w:t>Conduct of Review Meetings</w:t>
      </w:r>
    </w:p>
    <w:p w:rsidR="00135B6E" w:rsidRPr="00C00012" w:rsidRDefault="00135B6E" w:rsidP="00135B6E">
      <w:pPr>
        <w:rPr>
          <w:rFonts w:ascii="Arial" w:hAnsi="Arial" w:cs="Arial"/>
          <w:color w:val="000000"/>
          <w:sz w:val="22"/>
          <w:szCs w:val="22"/>
          <w:lang w:eastAsia="en-GB"/>
        </w:rPr>
      </w:pPr>
    </w:p>
    <w:p w:rsidR="00135B6E" w:rsidRPr="00C00012" w:rsidRDefault="00135B6E" w:rsidP="00135B6E">
      <w:pPr>
        <w:widowControl w:val="0"/>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 xml:space="preserve">Concerns need to be documented and objectively evidenced and ideally shared with the trainee before the meeting.  Factors which should be considered include: </w:t>
      </w:r>
    </w:p>
    <w:p w:rsidR="00135B6E" w:rsidRPr="00C00012" w:rsidRDefault="00135B6E" w:rsidP="00135B6E">
      <w:pPr>
        <w:widowControl w:val="0"/>
        <w:numPr>
          <w:ilvl w:val="0"/>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Background information</w:t>
      </w:r>
    </w:p>
    <w:p w:rsidR="00135B6E" w:rsidRPr="00C00012" w:rsidRDefault="00135B6E" w:rsidP="00135B6E">
      <w:pPr>
        <w:widowControl w:val="0"/>
        <w:numPr>
          <w:ilvl w:val="0"/>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Relevant issues identified during selection e.g. assessment of suitability for training?</w:t>
      </w:r>
    </w:p>
    <w:p w:rsidR="00135B6E" w:rsidRPr="00C00012" w:rsidRDefault="00135B6E" w:rsidP="00135B6E">
      <w:pPr>
        <w:widowControl w:val="0"/>
        <w:numPr>
          <w:ilvl w:val="0"/>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Evidence of pre-existing concerns e.g. from previous attachments, and</w:t>
      </w:r>
    </w:p>
    <w:p w:rsidR="00135B6E" w:rsidRPr="00C00012" w:rsidRDefault="00135B6E" w:rsidP="00135B6E">
      <w:pPr>
        <w:widowControl w:val="0"/>
        <w:numPr>
          <w:ilvl w:val="1"/>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Evidence that these concerns have been recorded</w:t>
      </w:r>
    </w:p>
    <w:p w:rsidR="00135B6E" w:rsidRPr="00C00012" w:rsidRDefault="00135B6E" w:rsidP="00135B6E">
      <w:pPr>
        <w:widowControl w:val="0"/>
        <w:numPr>
          <w:ilvl w:val="1"/>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Evidence that trainee has been made aware of these concerns</w:t>
      </w:r>
    </w:p>
    <w:p w:rsidR="00135B6E" w:rsidRPr="00C00012" w:rsidRDefault="00135B6E" w:rsidP="00135B6E">
      <w:pPr>
        <w:widowControl w:val="0"/>
        <w:numPr>
          <w:ilvl w:val="1"/>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 xml:space="preserve">Evidence of attempts to address these concerns </w:t>
      </w:r>
    </w:p>
    <w:p w:rsidR="00135B6E" w:rsidRPr="00C00012" w:rsidRDefault="00135B6E" w:rsidP="00135B6E">
      <w:pPr>
        <w:widowControl w:val="0"/>
        <w:numPr>
          <w:ilvl w:val="1"/>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Evidence of trainee’s response to these attempts</w:t>
      </w:r>
    </w:p>
    <w:p w:rsidR="00135B6E" w:rsidRPr="00C00012" w:rsidRDefault="00135B6E" w:rsidP="00135B6E">
      <w:pPr>
        <w:widowControl w:val="0"/>
        <w:numPr>
          <w:ilvl w:val="0"/>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 xml:space="preserve">Evidence of previous satisfactory performance (which has subsequently declined) </w:t>
      </w:r>
    </w:p>
    <w:p w:rsidR="00135B6E" w:rsidRPr="00C00012" w:rsidRDefault="00135B6E" w:rsidP="00135B6E">
      <w:pPr>
        <w:widowControl w:val="0"/>
        <w:numPr>
          <w:ilvl w:val="0"/>
          <w:numId w:val="10"/>
        </w:numPr>
        <w:tabs>
          <w:tab w:val="left" w:pos="-3420"/>
        </w:tabs>
        <w:suppressAutoHyphens/>
        <w:spacing w:before="115"/>
        <w:rPr>
          <w:rFonts w:ascii="Arial" w:hAnsi="Arial" w:cs="Arial"/>
          <w:color w:val="000000"/>
          <w:sz w:val="22"/>
          <w:szCs w:val="22"/>
          <w:lang w:val="en-US" w:eastAsia="en-GB"/>
        </w:rPr>
      </w:pPr>
      <w:r w:rsidRPr="00C00012">
        <w:rPr>
          <w:rFonts w:ascii="Arial" w:hAnsi="Arial" w:cs="Arial"/>
          <w:color w:val="000000"/>
          <w:sz w:val="22"/>
          <w:szCs w:val="22"/>
          <w:lang w:eastAsia="en-GB"/>
        </w:rPr>
        <w:t>Mitigating circumstances.</w:t>
      </w:r>
    </w:p>
    <w:p w:rsidR="00135B6E" w:rsidRPr="00C00012" w:rsidRDefault="00135B6E" w:rsidP="00135B6E">
      <w:pPr>
        <w:widowControl w:val="0"/>
        <w:numPr>
          <w:ilvl w:val="0"/>
          <w:numId w:val="10"/>
        </w:numPr>
        <w:tabs>
          <w:tab w:val="left" w:pos="-3420"/>
        </w:tabs>
        <w:suppressAutoHyphens/>
        <w:spacing w:before="115"/>
        <w:rPr>
          <w:rFonts w:ascii="Arial" w:hAnsi="Arial" w:cs="Arial"/>
          <w:color w:val="000000"/>
          <w:sz w:val="22"/>
          <w:szCs w:val="22"/>
          <w:lang w:val="en-US" w:eastAsia="en-GB"/>
        </w:rPr>
      </w:pPr>
      <w:r w:rsidRPr="00C00012">
        <w:rPr>
          <w:rFonts w:ascii="Arial" w:hAnsi="Arial" w:cs="Arial"/>
          <w:color w:val="000000"/>
          <w:sz w:val="22"/>
          <w:szCs w:val="22"/>
          <w:lang w:val="en-US" w:eastAsia="en-GB"/>
        </w:rPr>
        <w:t>Remedial training time since start of all training</w:t>
      </w:r>
    </w:p>
    <w:p w:rsidR="00135B6E" w:rsidRPr="00C00012" w:rsidRDefault="00135B6E" w:rsidP="00135B6E">
      <w:pPr>
        <w:widowControl w:val="0"/>
        <w:numPr>
          <w:ilvl w:val="0"/>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 xml:space="preserve">Details of the issues(s) that have resulted in the event, meeting or concern. </w:t>
      </w:r>
    </w:p>
    <w:p w:rsidR="00135B6E" w:rsidRPr="00C00012" w:rsidRDefault="00135B6E" w:rsidP="00135B6E">
      <w:pPr>
        <w:widowControl w:val="0"/>
        <w:numPr>
          <w:ilvl w:val="1"/>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 xml:space="preserve">Supporting evidence and results of further investigations </w:t>
      </w:r>
    </w:p>
    <w:p w:rsidR="00135B6E" w:rsidRPr="00C00012" w:rsidRDefault="00135B6E" w:rsidP="00135B6E">
      <w:pPr>
        <w:widowControl w:val="0"/>
        <w:numPr>
          <w:ilvl w:val="1"/>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 xml:space="preserve">Learners’ awareness of these concerns and transparency of the process </w:t>
      </w:r>
    </w:p>
    <w:p w:rsidR="00135B6E" w:rsidRPr="00C00012" w:rsidRDefault="00135B6E" w:rsidP="00135B6E">
      <w:pPr>
        <w:widowControl w:val="0"/>
        <w:numPr>
          <w:ilvl w:val="1"/>
          <w:numId w:val="10"/>
        </w:numPr>
        <w:tabs>
          <w:tab w:val="left" w:pos="-342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Attempts to address concerns, e.g. educational support</w:t>
      </w:r>
    </w:p>
    <w:p w:rsidR="00135B6E" w:rsidRPr="00C00012" w:rsidRDefault="00135B6E" w:rsidP="00135B6E">
      <w:pPr>
        <w:widowControl w:val="0"/>
        <w:numPr>
          <w:ilvl w:val="1"/>
          <w:numId w:val="10"/>
        </w:numPr>
        <w:tabs>
          <w:tab w:val="left" w:pos="-3420"/>
          <w:tab w:val="left" w:pos="-324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Progress to date</w:t>
      </w:r>
    </w:p>
    <w:p w:rsidR="00135B6E" w:rsidRPr="00C00012" w:rsidRDefault="00135B6E" w:rsidP="00135B6E">
      <w:pPr>
        <w:widowControl w:val="0"/>
        <w:numPr>
          <w:ilvl w:val="1"/>
          <w:numId w:val="10"/>
        </w:numPr>
        <w:tabs>
          <w:tab w:val="left" w:pos="-3420"/>
          <w:tab w:val="left" w:pos="-324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Evidence of an underlying cause e.g. health issues</w:t>
      </w:r>
    </w:p>
    <w:p w:rsidR="00135B6E" w:rsidRPr="00C00012" w:rsidRDefault="00135B6E" w:rsidP="00135B6E">
      <w:pPr>
        <w:widowControl w:val="0"/>
        <w:numPr>
          <w:ilvl w:val="1"/>
          <w:numId w:val="10"/>
        </w:numPr>
        <w:tabs>
          <w:tab w:val="left" w:pos="-3420"/>
          <w:tab w:val="left" w:pos="-324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Unresolved educational issues</w:t>
      </w:r>
    </w:p>
    <w:p w:rsidR="00135B6E" w:rsidRPr="00C00012" w:rsidRDefault="00135B6E" w:rsidP="00135B6E">
      <w:pPr>
        <w:widowControl w:val="0"/>
        <w:numPr>
          <w:ilvl w:val="1"/>
          <w:numId w:val="10"/>
        </w:numPr>
        <w:tabs>
          <w:tab w:val="left" w:pos="-3420"/>
          <w:tab w:val="left" w:pos="-324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Proposed attempts to address these – including an estimation of any extra time or resources that might be required.</w:t>
      </w:r>
    </w:p>
    <w:p w:rsidR="00135B6E" w:rsidRPr="00C00012" w:rsidRDefault="00135B6E" w:rsidP="00135B6E">
      <w:pPr>
        <w:widowControl w:val="0"/>
        <w:numPr>
          <w:ilvl w:val="1"/>
          <w:numId w:val="10"/>
        </w:numPr>
        <w:tabs>
          <w:tab w:val="left" w:pos="-3420"/>
          <w:tab w:val="left" w:pos="-324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Proposed methods to assess progress</w:t>
      </w: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bookmarkStart w:id="2" w:name="_GoBack"/>
      <w:bookmarkEnd w:id="2"/>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b/>
          <w:color w:val="000000"/>
          <w:sz w:val="22"/>
          <w:szCs w:val="22"/>
          <w:lang w:eastAsia="en-GB"/>
        </w:rPr>
      </w:pPr>
      <w:r w:rsidRPr="00C00012">
        <w:rPr>
          <w:rFonts w:ascii="Arial" w:hAnsi="Arial" w:cs="Arial"/>
          <w:b/>
          <w:color w:val="000000"/>
          <w:sz w:val="22"/>
          <w:szCs w:val="22"/>
          <w:lang w:eastAsia="en-GB"/>
        </w:rPr>
        <w:lastRenderedPageBreak/>
        <w:t>Appendix 3</w:t>
      </w:r>
    </w:p>
    <w:p w:rsidR="002661A3" w:rsidRPr="00C00012" w:rsidRDefault="002661A3" w:rsidP="002661A3">
      <w:pPr>
        <w:widowControl w:val="0"/>
        <w:tabs>
          <w:tab w:val="left" w:pos="-3420"/>
          <w:tab w:val="left" w:pos="-3240"/>
        </w:tabs>
        <w:suppressAutoHyphens/>
        <w:spacing w:before="115"/>
        <w:rPr>
          <w:rFonts w:ascii="Arial" w:hAnsi="Arial" w:cs="Arial"/>
          <w:b/>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b/>
          <w:color w:val="000000"/>
          <w:sz w:val="22"/>
          <w:szCs w:val="22"/>
          <w:lang w:eastAsia="en-GB"/>
        </w:rPr>
      </w:pPr>
      <w:r w:rsidRPr="00C00012">
        <w:rPr>
          <w:rFonts w:ascii="Arial" w:hAnsi="Arial" w:cs="Arial"/>
          <w:b/>
          <w:color w:val="000000"/>
          <w:sz w:val="22"/>
          <w:szCs w:val="22"/>
          <w:lang w:eastAsia="en-GB"/>
        </w:rPr>
        <w:t>Referring to the Professional Support Unit for Exam Failure only</w:t>
      </w:r>
    </w:p>
    <w:p w:rsidR="002661A3" w:rsidRPr="00C00012" w:rsidRDefault="002661A3" w:rsidP="002661A3">
      <w:pPr>
        <w:widowControl w:val="0"/>
        <w:tabs>
          <w:tab w:val="left" w:pos="-3420"/>
          <w:tab w:val="left" w:pos="-3240"/>
        </w:tabs>
        <w:suppressAutoHyphens/>
        <w:spacing w:before="115"/>
        <w:rPr>
          <w:rFonts w:ascii="Arial" w:hAnsi="Arial" w:cs="Arial"/>
          <w:b/>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The professional Support Unit has access to many different external services offering s</w:t>
      </w:r>
      <w:r w:rsidR="005A55A2" w:rsidRPr="00C00012">
        <w:rPr>
          <w:rFonts w:ascii="Arial" w:hAnsi="Arial" w:cs="Arial"/>
          <w:color w:val="000000"/>
          <w:sz w:val="22"/>
          <w:szCs w:val="22"/>
          <w:lang w:eastAsia="en-GB"/>
        </w:rPr>
        <w:t>upport to trainee</w:t>
      </w:r>
      <w:r w:rsidR="003A0DE6" w:rsidRPr="00C00012">
        <w:rPr>
          <w:rFonts w:ascii="Arial" w:hAnsi="Arial" w:cs="Arial"/>
          <w:color w:val="000000"/>
          <w:sz w:val="22"/>
          <w:szCs w:val="22"/>
          <w:lang w:eastAsia="en-GB"/>
        </w:rPr>
        <w:t>s within the e</w:t>
      </w:r>
      <w:r w:rsidRPr="00C00012">
        <w:rPr>
          <w:rFonts w:ascii="Arial" w:hAnsi="Arial" w:cs="Arial"/>
          <w:color w:val="000000"/>
          <w:sz w:val="22"/>
          <w:szCs w:val="22"/>
          <w:lang w:eastAsia="en-GB"/>
        </w:rPr>
        <w:t xml:space="preserve">ast of England. </w:t>
      </w: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p>
    <w:p w:rsidR="002661A3" w:rsidRPr="00C00012" w:rsidRDefault="002661A3" w:rsidP="002661A3">
      <w:pPr>
        <w:widowControl w:val="0"/>
        <w:tabs>
          <w:tab w:val="left" w:pos="-3420"/>
          <w:tab w:val="left" w:pos="-324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 xml:space="preserve">A large percentage of the referrals received by the PSU are due to exam failure alone. If you supervise any trainees with a number of failed attempts at any of their </w:t>
      </w:r>
      <w:r w:rsidR="002860C0" w:rsidRPr="00C00012">
        <w:rPr>
          <w:rFonts w:ascii="Arial" w:hAnsi="Arial" w:cs="Arial"/>
          <w:color w:val="000000"/>
          <w:sz w:val="22"/>
          <w:szCs w:val="22"/>
          <w:lang w:eastAsia="en-GB"/>
        </w:rPr>
        <w:t>exams</w:t>
      </w:r>
      <w:r w:rsidRPr="00C00012">
        <w:rPr>
          <w:rFonts w:ascii="Arial" w:hAnsi="Arial" w:cs="Arial"/>
          <w:color w:val="000000"/>
          <w:sz w:val="22"/>
          <w:szCs w:val="22"/>
          <w:lang w:eastAsia="en-GB"/>
        </w:rPr>
        <w:t xml:space="preserve">, you may choose to refer them to the PSU in order to gain access to additional Exam support alongside the support offered within the specialty. </w:t>
      </w:r>
      <w:r w:rsidR="002860C0" w:rsidRPr="00C00012">
        <w:rPr>
          <w:rFonts w:ascii="Arial" w:hAnsi="Arial" w:cs="Arial"/>
          <w:color w:val="000000"/>
          <w:sz w:val="22"/>
          <w:szCs w:val="22"/>
          <w:lang w:eastAsia="en-GB"/>
        </w:rPr>
        <w:t xml:space="preserve">(Details of which can be found on the </w:t>
      </w:r>
      <w:hyperlink r:id="rId20" w:history="1">
        <w:r w:rsidR="002860C0" w:rsidRPr="00C00012">
          <w:rPr>
            <w:rStyle w:val="Hyperlink"/>
            <w:rFonts w:ascii="Arial" w:hAnsi="Arial" w:cs="Arial"/>
            <w:sz w:val="22"/>
            <w:szCs w:val="22"/>
            <w:lang w:eastAsia="en-GB"/>
          </w:rPr>
          <w:t>PSU webpages</w:t>
        </w:r>
      </w:hyperlink>
      <w:r w:rsidR="002860C0" w:rsidRPr="00C00012">
        <w:rPr>
          <w:rFonts w:ascii="Arial" w:hAnsi="Arial" w:cs="Arial"/>
          <w:color w:val="000000"/>
          <w:sz w:val="22"/>
          <w:szCs w:val="22"/>
          <w:lang w:eastAsia="en-GB"/>
        </w:rPr>
        <w:t>)</w:t>
      </w:r>
    </w:p>
    <w:p w:rsidR="00AD77FC" w:rsidRPr="00C00012" w:rsidRDefault="00AD77FC" w:rsidP="002661A3">
      <w:pPr>
        <w:widowControl w:val="0"/>
        <w:tabs>
          <w:tab w:val="left" w:pos="-3420"/>
          <w:tab w:val="left" w:pos="-3240"/>
        </w:tabs>
        <w:suppressAutoHyphens/>
        <w:spacing w:before="115"/>
        <w:rPr>
          <w:rFonts w:ascii="Arial" w:hAnsi="Arial" w:cs="Arial"/>
          <w:color w:val="000000"/>
          <w:sz w:val="22"/>
          <w:szCs w:val="22"/>
          <w:lang w:eastAsia="en-GB"/>
        </w:rPr>
      </w:pPr>
    </w:p>
    <w:p w:rsidR="00C00012" w:rsidRPr="00C00012" w:rsidRDefault="00AD77FC" w:rsidP="002661A3">
      <w:pPr>
        <w:widowControl w:val="0"/>
        <w:tabs>
          <w:tab w:val="left" w:pos="-3420"/>
          <w:tab w:val="left" w:pos="-324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 xml:space="preserve">For exam failure referrals, the process above can seem unnecessary and therefore a Form </w:t>
      </w:r>
      <w:r w:rsidR="003A0DE6" w:rsidRPr="00C00012">
        <w:rPr>
          <w:rFonts w:ascii="Arial" w:hAnsi="Arial" w:cs="Arial"/>
          <w:color w:val="000000"/>
          <w:sz w:val="22"/>
          <w:szCs w:val="22"/>
          <w:lang w:eastAsia="en-GB"/>
        </w:rPr>
        <w:t>E</w:t>
      </w:r>
      <w:r w:rsidRPr="00C00012">
        <w:rPr>
          <w:rFonts w:ascii="Arial" w:hAnsi="Arial" w:cs="Arial"/>
          <w:color w:val="000000"/>
          <w:sz w:val="22"/>
          <w:szCs w:val="22"/>
          <w:lang w:eastAsia="en-GB"/>
        </w:rPr>
        <w:t xml:space="preserve"> may be </w:t>
      </w:r>
      <w:r w:rsidR="00C00012" w:rsidRPr="00C00012">
        <w:rPr>
          <w:rFonts w:ascii="Arial" w:hAnsi="Arial" w:cs="Arial"/>
          <w:color w:val="000000"/>
          <w:sz w:val="22"/>
          <w:szCs w:val="22"/>
          <w:lang w:eastAsia="en-GB"/>
        </w:rPr>
        <w:t>submitted by a trainee or their supervisor.</w:t>
      </w:r>
      <w:r w:rsidR="00B67610" w:rsidRPr="00C00012">
        <w:rPr>
          <w:rFonts w:ascii="Arial" w:hAnsi="Arial" w:cs="Arial"/>
          <w:color w:val="000000"/>
          <w:sz w:val="22"/>
          <w:szCs w:val="22"/>
          <w:lang w:eastAsia="en-GB"/>
        </w:rPr>
        <w:t xml:space="preserve"> </w:t>
      </w:r>
      <w:r w:rsidR="003A0DE6" w:rsidRPr="00C00012">
        <w:rPr>
          <w:rFonts w:ascii="Arial" w:hAnsi="Arial" w:cs="Arial"/>
          <w:color w:val="000000"/>
          <w:sz w:val="22"/>
          <w:szCs w:val="22"/>
          <w:lang w:eastAsia="en-GB"/>
        </w:rPr>
        <w:t xml:space="preserve">We ask that the Trainee ensures their Supervisors are aware they have made the self-referral. </w:t>
      </w:r>
    </w:p>
    <w:p w:rsidR="00B67610" w:rsidRPr="00C00012" w:rsidRDefault="00B67610" w:rsidP="002661A3">
      <w:pPr>
        <w:widowControl w:val="0"/>
        <w:tabs>
          <w:tab w:val="left" w:pos="-3420"/>
          <w:tab w:val="left" w:pos="-3240"/>
        </w:tabs>
        <w:suppressAutoHyphens/>
        <w:spacing w:before="115"/>
        <w:rPr>
          <w:rFonts w:ascii="Arial" w:hAnsi="Arial" w:cs="Arial"/>
          <w:color w:val="000000"/>
          <w:sz w:val="22"/>
          <w:szCs w:val="22"/>
          <w:lang w:eastAsia="en-GB"/>
        </w:rPr>
      </w:pPr>
      <w:r w:rsidRPr="00C00012">
        <w:rPr>
          <w:rFonts w:ascii="Arial" w:hAnsi="Arial" w:cs="Arial"/>
          <w:color w:val="000000"/>
          <w:sz w:val="22"/>
          <w:szCs w:val="22"/>
          <w:lang w:eastAsia="en-GB"/>
        </w:rPr>
        <w:t>Form</w:t>
      </w:r>
      <w:r w:rsidR="003A0DE6" w:rsidRPr="00C00012">
        <w:rPr>
          <w:rFonts w:ascii="Arial" w:hAnsi="Arial" w:cs="Arial"/>
          <w:color w:val="000000"/>
          <w:sz w:val="22"/>
          <w:szCs w:val="22"/>
          <w:lang w:eastAsia="en-GB"/>
        </w:rPr>
        <w:t xml:space="preserve"> E</w:t>
      </w:r>
      <w:r w:rsidRPr="00C00012">
        <w:rPr>
          <w:rFonts w:ascii="Arial" w:hAnsi="Arial" w:cs="Arial"/>
          <w:color w:val="000000"/>
          <w:sz w:val="22"/>
          <w:szCs w:val="22"/>
          <w:lang w:eastAsia="en-GB"/>
        </w:rPr>
        <w:t xml:space="preserve"> should only be used where </w:t>
      </w:r>
      <w:r w:rsidR="002860C0" w:rsidRPr="00C00012">
        <w:rPr>
          <w:rFonts w:ascii="Arial" w:hAnsi="Arial" w:cs="Arial"/>
          <w:color w:val="000000"/>
          <w:sz w:val="22"/>
          <w:szCs w:val="22"/>
          <w:lang w:eastAsia="en-GB"/>
        </w:rPr>
        <w:t>trainees</w:t>
      </w:r>
      <w:r w:rsidRPr="00C00012">
        <w:rPr>
          <w:rFonts w:ascii="Arial" w:hAnsi="Arial" w:cs="Arial"/>
          <w:color w:val="000000"/>
          <w:sz w:val="22"/>
          <w:szCs w:val="22"/>
          <w:lang w:eastAsia="en-GB"/>
        </w:rPr>
        <w:t xml:space="preserve"> have experienced exam failure after 2 or more attempts and require access </w:t>
      </w:r>
      <w:r w:rsidR="006A2A89" w:rsidRPr="00C00012">
        <w:rPr>
          <w:rFonts w:ascii="Arial" w:hAnsi="Arial" w:cs="Arial"/>
          <w:color w:val="000000"/>
          <w:sz w:val="22"/>
          <w:szCs w:val="22"/>
          <w:lang w:eastAsia="en-GB"/>
        </w:rPr>
        <w:t xml:space="preserve">to specialist support available </w:t>
      </w:r>
      <w:r w:rsidRPr="00C00012">
        <w:rPr>
          <w:rFonts w:ascii="Arial" w:hAnsi="Arial" w:cs="Arial"/>
          <w:color w:val="000000"/>
          <w:sz w:val="22"/>
          <w:szCs w:val="22"/>
          <w:lang w:eastAsia="en-GB"/>
        </w:rPr>
        <w:t xml:space="preserve">only via the PSU i.e. 1:1 Exam Skills coaching via Skype or </w:t>
      </w:r>
      <w:r w:rsidR="002D6141" w:rsidRPr="00C00012">
        <w:rPr>
          <w:rFonts w:ascii="Arial" w:hAnsi="Arial" w:cs="Arial"/>
          <w:color w:val="000000"/>
          <w:sz w:val="22"/>
          <w:szCs w:val="22"/>
          <w:lang w:eastAsia="en-GB"/>
        </w:rPr>
        <w:t xml:space="preserve">the HEE, EoE Exam Support workshop. </w:t>
      </w:r>
      <w:r w:rsidRPr="00C00012">
        <w:rPr>
          <w:rFonts w:ascii="Arial" w:hAnsi="Arial" w:cs="Arial"/>
          <w:color w:val="000000"/>
          <w:sz w:val="22"/>
          <w:szCs w:val="22"/>
          <w:lang w:eastAsia="en-GB"/>
        </w:rPr>
        <w:t xml:space="preserve"> </w:t>
      </w:r>
    </w:p>
    <w:p w:rsidR="0003459F" w:rsidRPr="00C00012" w:rsidRDefault="0003459F" w:rsidP="002661A3">
      <w:pPr>
        <w:widowControl w:val="0"/>
        <w:tabs>
          <w:tab w:val="left" w:pos="-3420"/>
          <w:tab w:val="left" w:pos="-3240"/>
        </w:tabs>
        <w:suppressAutoHyphens/>
        <w:spacing w:before="115"/>
        <w:rPr>
          <w:rFonts w:ascii="Arial" w:hAnsi="Arial" w:cs="Arial"/>
          <w:color w:val="000000"/>
          <w:sz w:val="22"/>
          <w:szCs w:val="22"/>
          <w:lang w:eastAsia="en-GB"/>
        </w:rPr>
      </w:pPr>
    </w:p>
    <w:p w:rsidR="002860C0" w:rsidRPr="00C00012" w:rsidRDefault="0003459F" w:rsidP="002661A3">
      <w:pPr>
        <w:widowControl w:val="0"/>
        <w:tabs>
          <w:tab w:val="left" w:pos="-3420"/>
          <w:tab w:val="left" w:pos="-3240"/>
        </w:tabs>
        <w:suppressAutoHyphens/>
        <w:spacing w:before="115"/>
        <w:rPr>
          <w:rFonts w:ascii="Arial" w:hAnsi="Arial" w:cs="Arial"/>
          <w:i/>
          <w:color w:val="000000"/>
          <w:sz w:val="22"/>
          <w:szCs w:val="22"/>
          <w:lang w:eastAsia="en-GB"/>
        </w:rPr>
      </w:pPr>
      <w:r w:rsidRPr="00C00012">
        <w:rPr>
          <w:rFonts w:ascii="Arial" w:hAnsi="Arial" w:cs="Arial"/>
          <w:color w:val="000000"/>
          <w:sz w:val="22"/>
          <w:szCs w:val="22"/>
          <w:lang w:eastAsia="en-GB"/>
        </w:rPr>
        <w:t>As detailed above in the main body of the Professional Support guidance, trainees may also be offered Dyslexia Screening as a standard measure. This measure is</w:t>
      </w:r>
      <w:r w:rsidR="00C00012" w:rsidRPr="00C00012">
        <w:rPr>
          <w:rFonts w:ascii="Arial" w:hAnsi="Arial" w:cs="Arial"/>
          <w:color w:val="000000"/>
          <w:sz w:val="22"/>
          <w:szCs w:val="22"/>
          <w:lang w:eastAsia="en-GB"/>
        </w:rPr>
        <w:t xml:space="preserve"> not mandatory but is adv</w:t>
      </w:r>
      <w:r w:rsidR="00C00012">
        <w:rPr>
          <w:rFonts w:ascii="Arial" w:hAnsi="Arial" w:cs="Arial"/>
          <w:color w:val="000000"/>
          <w:sz w:val="22"/>
          <w:szCs w:val="22"/>
          <w:lang w:eastAsia="en-GB"/>
        </w:rPr>
        <w:t>isable. Should a screening resu</w:t>
      </w:r>
      <w:r w:rsidR="00C00012" w:rsidRPr="00C00012">
        <w:rPr>
          <w:rFonts w:ascii="Arial" w:hAnsi="Arial" w:cs="Arial"/>
          <w:color w:val="000000"/>
          <w:sz w:val="22"/>
          <w:szCs w:val="22"/>
          <w:lang w:eastAsia="en-GB"/>
        </w:rPr>
        <w:t xml:space="preserve">lt reflect a moderate or high probability, a referral will be made to an Educational Psychologist. If Dyslexia is proven </w:t>
      </w:r>
      <w:r w:rsidR="00C00012">
        <w:rPr>
          <w:rFonts w:ascii="Arial" w:hAnsi="Arial" w:cs="Arial"/>
          <w:color w:val="000000"/>
          <w:sz w:val="22"/>
          <w:szCs w:val="22"/>
          <w:lang w:eastAsia="en-GB"/>
        </w:rPr>
        <w:t xml:space="preserve">at this stage, </w:t>
      </w:r>
      <w:r w:rsidR="00C00012" w:rsidRPr="00C00012">
        <w:rPr>
          <w:rFonts w:ascii="Arial" w:hAnsi="Arial" w:cs="Arial"/>
          <w:color w:val="000000"/>
          <w:sz w:val="22"/>
          <w:szCs w:val="22"/>
          <w:lang w:eastAsia="en-GB"/>
        </w:rPr>
        <w:t xml:space="preserve">this may </w:t>
      </w:r>
      <w:r w:rsidRPr="00C00012">
        <w:rPr>
          <w:rFonts w:ascii="Arial" w:hAnsi="Arial" w:cs="Arial"/>
          <w:color w:val="000000"/>
          <w:sz w:val="22"/>
          <w:szCs w:val="22"/>
          <w:lang w:eastAsia="en-GB"/>
        </w:rPr>
        <w:t>grant an additional 25% of extr</w:t>
      </w:r>
      <w:r w:rsidR="00C00012" w:rsidRPr="00C00012">
        <w:rPr>
          <w:rFonts w:ascii="Arial" w:hAnsi="Arial" w:cs="Arial"/>
          <w:color w:val="000000"/>
          <w:sz w:val="22"/>
          <w:szCs w:val="22"/>
          <w:lang w:eastAsia="en-GB"/>
        </w:rPr>
        <w:t xml:space="preserve">a time during each exam sitting. </w:t>
      </w:r>
      <w:r w:rsidRPr="00C00012">
        <w:rPr>
          <w:rFonts w:ascii="Arial" w:hAnsi="Arial" w:cs="Arial"/>
          <w:i/>
          <w:color w:val="000000"/>
          <w:sz w:val="22"/>
          <w:szCs w:val="22"/>
          <w:lang w:eastAsia="en-GB"/>
        </w:rPr>
        <w:t>(</w:t>
      </w:r>
      <w:r w:rsidR="00C00012" w:rsidRPr="00C00012">
        <w:rPr>
          <w:rFonts w:ascii="Arial" w:hAnsi="Arial" w:cs="Arial"/>
          <w:sz w:val="22"/>
          <w:szCs w:val="22"/>
          <w:lang w:val="en"/>
        </w:rPr>
        <w:t>With one in 10</w:t>
      </w:r>
      <w:r w:rsidR="00C00012">
        <w:rPr>
          <w:rFonts w:ascii="Arial" w:hAnsi="Arial" w:cs="Arial"/>
          <w:sz w:val="22"/>
          <w:szCs w:val="22"/>
          <w:lang w:val="en"/>
        </w:rPr>
        <w:t xml:space="preserve"> </w:t>
      </w:r>
      <w:r w:rsidR="00C00012" w:rsidRPr="00C00012">
        <w:rPr>
          <w:rFonts w:ascii="Arial" w:hAnsi="Arial" w:cs="Arial"/>
          <w:sz w:val="22"/>
          <w:szCs w:val="22"/>
          <w:lang w:val="en"/>
        </w:rPr>
        <w:t>[i] of the population estimated to have dyslexia, more than 6.3 million [ii] in the UK potentially have dyslexia.</w:t>
      </w:r>
      <w:r w:rsidRPr="00C00012">
        <w:rPr>
          <w:rFonts w:ascii="Arial" w:hAnsi="Arial" w:cs="Arial"/>
          <w:i/>
          <w:color w:val="000000"/>
          <w:sz w:val="22"/>
          <w:szCs w:val="22"/>
          <w:lang w:eastAsia="en-GB"/>
        </w:rPr>
        <w:t>)</w:t>
      </w:r>
      <w:r w:rsidR="002860C0" w:rsidRPr="00C00012">
        <w:rPr>
          <w:rFonts w:ascii="Arial" w:hAnsi="Arial" w:cs="Arial"/>
          <w:i/>
          <w:color w:val="000000"/>
          <w:sz w:val="22"/>
          <w:szCs w:val="22"/>
          <w:lang w:eastAsia="en-GB"/>
        </w:rPr>
        <w:t>.</w:t>
      </w:r>
    </w:p>
    <w:p w:rsidR="002860C0" w:rsidRPr="00C00012" w:rsidRDefault="002860C0" w:rsidP="002661A3">
      <w:pPr>
        <w:widowControl w:val="0"/>
        <w:tabs>
          <w:tab w:val="left" w:pos="-3420"/>
          <w:tab w:val="left" w:pos="-3240"/>
        </w:tabs>
        <w:suppressAutoHyphens/>
        <w:spacing w:before="115"/>
        <w:rPr>
          <w:rFonts w:ascii="Arial" w:hAnsi="Arial" w:cs="Arial"/>
          <w:i/>
          <w:color w:val="000000"/>
          <w:sz w:val="22"/>
          <w:szCs w:val="22"/>
          <w:lang w:eastAsia="en-GB"/>
        </w:rPr>
      </w:pPr>
    </w:p>
    <w:p w:rsidR="0003459F" w:rsidRPr="00C00012" w:rsidRDefault="002860C0" w:rsidP="002860C0">
      <w:pPr>
        <w:widowControl w:val="0"/>
        <w:tabs>
          <w:tab w:val="left" w:pos="-3420"/>
          <w:tab w:val="left" w:pos="-3240"/>
        </w:tabs>
        <w:suppressAutoHyphens/>
        <w:spacing w:before="115"/>
        <w:rPr>
          <w:rFonts w:ascii="Arial" w:hAnsi="Arial" w:cs="Arial"/>
          <w:color w:val="000000"/>
          <w:sz w:val="22"/>
          <w:szCs w:val="22"/>
          <w:lang w:eastAsia="en-GB"/>
        </w:rPr>
      </w:pPr>
      <w:r w:rsidRPr="00C00012">
        <w:rPr>
          <w:rFonts w:ascii="Arial" w:hAnsi="Arial" w:cs="Arial"/>
          <w:i/>
          <w:color w:val="000000"/>
          <w:sz w:val="22"/>
          <w:szCs w:val="22"/>
          <w:lang w:eastAsia="en-GB"/>
        </w:rPr>
        <w:t>* Please note the support detailed above is not limited or restricted to those referred using</w:t>
      </w:r>
      <w:r w:rsidR="003A0DE6" w:rsidRPr="00C00012">
        <w:rPr>
          <w:rFonts w:ascii="Arial" w:hAnsi="Arial" w:cs="Arial"/>
          <w:i/>
          <w:color w:val="000000"/>
          <w:sz w:val="22"/>
          <w:szCs w:val="22"/>
          <w:lang w:eastAsia="en-GB"/>
        </w:rPr>
        <w:t xml:space="preserve"> Form E</w:t>
      </w:r>
      <w:r w:rsidRPr="00C00012">
        <w:rPr>
          <w:rFonts w:ascii="Arial" w:hAnsi="Arial" w:cs="Arial"/>
          <w:i/>
          <w:color w:val="000000"/>
          <w:sz w:val="22"/>
          <w:szCs w:val="22"/>
          <w:lang w:eastAsia="en-GB"/>
        </w:rPr>
        <w:t xml:space="preserve"> *</w:t>
      </w:r>
      <w:r w:rsidR="0003459F" w:rsidRPr="00C00012">
        <w:rPr>
          <w:rFonts w:ascii="Arial" w:hAnsi="Arial" w:cs="Arial"/>
          <w:i/>
          <w:color w:val="000000"/>
          <w:sz w:val="22"/>
          <w:szCs w:val="22"/>
          <w:lang w:eastAsia="en-GB"/>
        </w:rPr>
        <w:t xml:space="preserve"> </w:t>
      </w:r>
      <w:r w:rsidR="0003459F" w:rsidRPr="00C00012">
        <w:rPr>
          <w:rFonts w:ascii="Arial" w:hAnsi="Arial" w:cs="Arial"/>
          <w:color w:val="000000"/>
          <w:sz w:val="22"/>
          <w:szCs w:val="22"/>
          <w:lang w:eastAsia="en-GB"/>
        </w:rPr>
        <w:t xml:space="preserve"> </w:t>
      </w:r>
    </w:p>
    <w:p w:rsidR="00135B6E" w:rsidRPr="00C00012" w:rsidRDefault="00135B6E" w:rsidP="00135B6E">
      <w:pPr>
        <w:ind w:left="360" w:hanging="360"/>
        <w:rPr>
          <w:rFonts w:ascii="Arial" w:hAnsi="Arial" w:cs="Arial"/>
          <w:sz w:val="22"/>
          <w:szCs w:val="22"/>
        </w:rPr>
      </w:pPr>
    </w:p>
    <w:p w:rsidR="000B3F5F" w:rsidRPr="00C00012" w:rsidRDefault="000B3F5F">
      <w:pPr>
        <w:rPr>
          <w:rFonts w:ascii="Arial" w:hAnsi="Arial" w:cs="Arial"/>
          <w:sz w:val="22"/>
          <w:szCs w:val="22"/>
        </w:rPr>
      </w:pPr>
    </w:p>
    <w:bookmarkStart w:id="3" w:name="_MON_1546243812"/>
    <w:bookmarkEnd w:id="3"/>
    <w:p w:rsidR="002860C0" w:rsidRPr="00C00012" w:rsidRDefault="00D55383" w:rsidP="002860C0">
      <w:pPr>
        <w:keepNext/>
        <w:rPr>
          <w:rFonts w:ascii="Arial" w:hAnsi="Arial" w:cs="Arial"/>
          <w:sz w:val="22"/>
          <w:szCs w:val="22"/>
        </w:rPr>
      </w:pPr>
      <w:r w:rsidRPr="00C00012">
        <w:rPr>
          <w:rFonts w:ascii="Arial" w:hAnsi="Arial" w:cs="Arial"/>
          <w:sz w:val="22"/>
          <w:szCs w:val="22"/>
        </w:rPr>
        <w:object w:dxaOrig="1550" w:dyaOrig="991">
          <v:shape id="_x0000_i1028" type="#_x0000_t75" style="width:77.4pt;height:49.55pt" o:ole="">
            <v:imagedata r:id="rId21" o:title=""/>
          </v:shape>
          <o:OLEObject Type="Embed" ProgID="Word.Document.12" ShapeID="_x0000_i1028" DrawAspect="Icon" ObjectID="_1547270859" r:id="rId22">
            <o:FieldCodes>\s</o:FieldCodes>
          </o:OLEObject>
        </w:object>
      </w:r>
    </w:p>
    <w:p w:rsidR="002860C0" w:rsidRPr="00C00012" w:rsidRDefault="002860C0" w:rsidP="002860C0">
      <w:pPr>
        <w:keepNext/>
        <w:rPr>
          <w:rFonts w:ascii="Arial" w:hAnsi="Arial" w:cs="Arial"/>
          <w:sz w:val="22"/>
          <w:szCs w:val="22"/>
        </w:rPr>
      </w:pPr>
    </w:p>
    <w:p w:rsidR="002860C0" w:rsidRPr="00C00012" w:rsidRDefault="003A0DE6" w:rsidP="002860C0">
      <w:pPr>
        <w:pStyle w:val="Caption"/>
        <w:rPr>
          <w:rFonts w:ascii="Arial" w:hAnsi="Arial" w:cs="Arial"/>
          <w:sz w:val="22"/>
          <w:szCs w:val="22"/>
        </w:rPr>
      </w:pPr>
      <w:r w:rsidRPr="00C00012">
        <w:rPr>
          <w:rFonts w:ascii="Arial" w:hAnsi="Arial" w:cs="Arial"/>
          <w:sz w:val="22"/>
          <w:szCs w:val="22"/>
        </w:rPr>
        <w:t>Form E</w:t>
      </w:r>
    </w:p>
    <w:p w:rsidR="00C00012" w:rsidRPr="00C00012" w:rsidRDefault="00C00012" w:rsidP="00C00012">
      <w:pPr>
        <w:rPr>
          <w:rFonts w:ascii="Arial" w:hAnsi="Arial" w:cs="Arial"/>
          <w:sz w:val="22"/>
          <w:szCs w:val="22"/>
        </w:rPr>
      </w:pPr>
    </w:p>
    <w:p w:rsidR="00C00012" w:rsidRPr="00C00012" w:rsidRDefault="00C00012" w:rsidP="00C00012">
      <w:pPr>
        <w:rPr>
          <w:rFonts w:ascii="Arial" w:hAnsi="Arial" w:cs="Arial"/>
          <w:sz w:val="22"/>
          <w:szCs w:val="22"/>
        </w:rPr>
      </w:pPr>
      <w:r w:rsidRPr="00C00012">
        <w:rPr>
          <w:rFonts w:ascii="Arial" w:hAnsi="Arial" w:cs="Arial"/>
          <w:sz w:val="22"/>
          <w:szCs w:val="22"/>
        </w:rPr>
        <w:t xml:space="preserve">References </w:t>
      </w:r>
    </w:p>
    <w:p w:rsidR="00C00012" w:rsidRPr="00C00012" w:rsidRDefault="00C00012" w:rsidP="00C00012">
      <w:pPr>
        <w:rPr>
          <w:rFonts w:ascii="Arial" w:hAnsi="Arial" w:cs="Arial"/>
          <w:sz w:val="22"/>
          <w:szCs w:val="22"/>
        </w:rPr>
      </w:pPr>
    </w:p>
    <w:p w:rsidR="00C00012" w:rsidRDefault="00C00012" w:rsidP="00C00012">
      <w:pPr>
        <w:pStyle w:val="NormalWeb"/>
        <w:shd w:val="clear" w:color="auto" w:fill="FFFFFF" w:themeFill="background1"/>
        <w:textAlignment w:val="center"/>
        <w:rPr>
          <w:rFonts w:ascii="Arial" w:hAnsi="Arial" w:cs="Arial"/>
          <w:sz w:val="22"/>
          <w:szCs w:val="22"/>
          <w:lang w:val="en"/>
        </w:rPr>
      </w:pPr>
      <w:r>
        <w:rPr>
          <w:rFonts w:ascii="Arial" w:hAnsi="Arial" w:cs="Arial"/>
          <w:sz w:val="22"/>
          <w:szCs w:val="22"/>
          <w:lang w:val="en"/>
        </w:rPr>
        <w:t xml:space="preserve">[i] </w:t>
      </w:r>
      <w:r w:rsidRPr="00C00012">
        <w:rPr>
          <w:rFonts w:ascii="Arial" w:hAnsi="Arial" w:cs="Arial"/>
          <w:sz w:val="22"/>
          <w:szCs w:val="22"/>
          <w:lang w:val="en"/>
        </w:rPr>
        <w:t>Pennington B F, (1990) The Genetics of Dyslexia, The Journal of Child Psychology and Psychiatry [Online] </w:t>
      </w:r>
      <w:hyperlink r:id="rId23" w:history="1">
        <w:r w:rsidRPr="00C00012">
          <w:rPr>
            <w:rStyle w:val="Hyperlink"/>
            <w:rFonts w:ascii="Arial" w:hAnsi="Arial" w:cs="Arial"/>
            <w:sz w:val="22"/>
            <w:szCs w:val="22"/>
            <w:lang w:val="en"/>
          </w:rPr>
          <w:t>Volume 31, Issue 2, </w:t>
        </w:r>
      </w:hyperlink>
      <w:r w:rsidRPr="00C00012">
        <w:rPr>
          <w:rFonts w:ascii="Arial" w:hAnsi="Arial" w:cs="Arial"/>
          <w:sz w:val="22"/>
          <w:szCs w:val="22"/>
          <w:lang w:val="en"/>
        </w:rPr>
        <w:t>pages 193–201. Accessed from: </w:t>
      </w:r>
      <w:hyperlink r:id="rId24" w:history="1">
        <w:r w:rsidRPr="00C00012">
          <w:rPr>
            <w:rStyle w:val="Hyperlink"/>
            <w:rFonts w:ascii="Arial" w:hAnsi="Arial" w:cs="Arial"/>
            <w:sz w:val="22"/>
            <w:szCs w:val="22"/>
            <w:lang w:val="en"/>
          </w:rPr>
          <w:t>http://onlinelibrary.wiley.com/doi/10.1111/j.1469-7610.1990.tb01561.x/abstract</w:t>
        </w:r>
      </w:hyperlink>
    </w:p>
    <w:p w:rsidR="00C00012" w:rsidRPr="00C00012" w:rsidRDefault="00C00012" w:rsidP="00C00012">
      <w:pPr>
        <w:pStyle w:val="NormalWeb"/>
        <w:shd w:val="clear" w:color="auto" w:fill="FFFFFF" w:themeFill="background1"/>
        <w:textAlignment w:val="center"/>
        <w:rPr>
          <w:rFonts w:ascii="Arial" w:hAnsi="Arial" w:cs="Arial"/>
          <w:sz w:val="22"/>
          <w:szCs w:val="22"/>
          <w:lang w:val="en"/>
        </w:rPr>
      </w:pPr>
      <w:r>
        <w:rPr>
          <w:rFonts w:ascii="Arial" w:hAnsi="Arial" w:cs="Arial"/>
          <w:sz w:val="22"/>
          <w:szCs w:val="22"/>
          <w:lang w:val="en"/>
        </w:rPr>
        <w:t>[ii]</w:t>
      </w:r>
      <w:proofErr w:type="gramStart"/>
      <w:r w:rsidRPr="00C00012">
        <w:rPr>
          <w:rFonts w:ascii="Arial" w:hAnsi="Arial" w:cs="Arial"/>
          <w:sz w:val="22"/>
          <w:szCs w:val="22"/>
          <w:lang w:val="en"/>
        </w:rPr>
        <w:t>  Census</w:t>
      </w:r>
      <w:proofErr w:type="gramEnd"/>
      <w:r w:rsidRPr="00C00012">
        <w:rPr>
          <w:rFonts w:ascii="Arial" w:hAnsi="Arial" w:cs="Arial"/>
          <w:sz w:val="22"/>
          <w:szCs w:val="22"/>
          <w:lang w:val="en"/>
        </w:rPr>
        <w:t xml:space="preserve"> (2011) </w:t>
      </w:r>
      <w:hyperlink r:id="rId25" w:history="1">
        <w:r w:rsidRPr="000362B4">
          <w:rPr>
            <w:rStyle w:val="Hyperlink"/>
            <w:rFonts w:ascii="Arial" w:hAnsi="Arial" w:cs="Arial"/>
            <w:sz w:val="22"/>
            <w:szCs w:val="22"/>
            <w:lang w:val="en"/>
          </w:rPr>
          <w:t>http://www.scotlandscensus.gov.uk/en/</w:t>
        </w:r>
      </w:hyperlink>
    </w:p>
    <w:p w:rsidR="00C00012" w:rsidRPr="00C00012" w:rsidRDefault="00C00012" w:rsidP="00C00012">
      <w:pPr>
        <w:rPr>
          <w:rFonts w:ascii="Arial" w:hAnsi="Arial" w:cs="Arial"/>
          <w:sz w:val="22"/>
          <w:szCs w:val="22"/>
        </w:rPr>
      </w:pPr>
    </w:p>
    <w:sectPr w:rsidR="00C00012" w:rsidRPr="00C00012" w:rsidSect="00963A78">
      <w:footerReference w:type="even" r:id="rId26"/>
      <w:footerReference w:type="default" r:id="rId27"/>
      <w:headerReference w:type="first" r:id="rId28"/>
      <w:footerReference w:type="first" r:id="rId29"/>
      <w:pgSz w:w="11900" w:h="16840"/>
      <w:pgMar w:top="1134" w:right="851" w:bottom="1134" w:left="851" w:header="992" w:footer="1257" w:gutter="0"/>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8BBEEC" w15:done="0"/>
  <w15:commentEx w15:paraId="02284B97" w15:done="0"/>
  <w15:commentEx w15:paraId="1A048598" w15:done="0"/>
  <w15:commentEx w15:paraId="253006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5A2" w:rsidRDefault="005A55A2">
      <w:r>
        <w:separator/>
      </w:r>
    </w:p>
  </w:endnote>
  <w:endnote w:type="continuationSeparator" w:id="0">
    <w:p w:rsidR="005A55A2" w:rsidRDefault="005A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2" w:rsidRDefault="005A55A2" w:rsidP="00963A7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2" w:rsidRDefault="005A55A2" w:rsidP="00963A78">
    <w:pPr>
      <w:pStyle w:val="Footer"/>
      <w:ind w:right="360" w:firstLine="360"/>
      <w:jc w:val="center"/>
    </w:pPr>
    <w:r w:rsidRPr="005975C7">
      <w:rPr>
        <w:noProof/>
        <w:lang w:eastAsia="en-GB"/>
      </w:rPr>
      <w:drawing>
        <wp:anchor distT="0" distB="0" distL="114300" distR="114300" simplePos="0" relativeHeight="251662336" behindDoc="1" locked="0" layoutInCell="1" allowOverlap="1" wp14:anchorId="3983FDA6" wp14:editId="17A693A3">
          <wp:simplePos x="0" y="0"/>
          <wp:positionH relativeFrom="column">
            <wp:posOffset>5196840</wp:posOffset>
          </wp:positionH>
          <wp:positionV relativeFrom="paragraph">
            <wp:posOffset>34290</wp:posOffset>
          </wp:positionV>
          <wp:extent cx="1341755" cy="854710"/>
          <wp:effectExtent l="0" t="0" r="0" b="2540"/>
          <wp:wrapTopAndBottom/>
          <wp:docPr id="28" name="Picture 2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63360" behindDoc="1" locked="0" layoutInCell="1" allowOverlap="1" wp14:anchorId="6C7A8EE2" wp14:editId="34C8568F">
          <wp:simplePos x="0" y="0"/>
          <wp:positionH relativeFrom="column">
            <wp:posOffset>-59055</wp:posOffset>
          </wp:positionH>
          <wp:positionV relativeFrom="paragraph">
            <wp:posOffset>45085</wp:posOffset>
          </wp:positionV>
          <wp:extent cx="1176020" cy="854710"/>
          <wp:effectExtent l="0" t="0" r="5080" b="2540"/>
          <wp:wrapTopAndBottom/>
          <wp:docPr id="29"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2" w:rsidRDefault="005A55A2">
    <w:pPr>
      <w:pStyle w:val="Footer"/>
    </w:pPr>
    <w:r w:rsidRPr="005975C7">
      <w:rPr>
        <w:noProof/>
        <w:lang w:eastAsia="en-GB"/>
      </w:rPr>
      <w:drawing>
        <wp:anchor distT="0" distB="0" distL="114300" distR="114300" simplePos="0" relativeHeight="251661312" behindDoc="1" locked="0" layoutInCell="1" allowOverlap="1" wp14:anchorId="3C72E468" wp14:editId="1EB1474B">
          <wp:simplePos x="0" y="0"/>
          <wp:positionH relativeFrom="column">
            <wp:posOffset>65405</wp:posOffset>
          </wp:positionH>
          <wp:positionV relativeFrom="paragraph">
            <wp:posOffset>-487045</wp:posOffset>
          </wp:positionV>
          <wp:extent cx="1176020" cy="854710"/>
          <wp:effectExtent l="0" t="0" r="5080" b="2540"/>
          <wp:wrapTopAndBottom/>
          <wp:docPr id="31" name="Picture 3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60288" behindDoc="1" locked="0" layoutInCell="1" allowOverlap="1" wp14:anchorId="1208D61A" wp14:editId="780A4C5A">
          <wp:simplePos x="0" y="0"/>
          <wp:positionH relativeFrom="column">
            <wp:posOffset>5041265</wp:posOffset>
          </wp:positionH>
          <wp:positionV relativeFrom="paragraph">
            <wp:posOffset>-497840</wp:posOffset>
          </wp:positionV>
          <wp:extent cx="1341755" cy="854710"/>
          <wp:effectExtent l="0" t="0" r="0" b="2540"/>
          <wp:wrapTopAndBottom/>
          <wp:docPr id="32" name="Picture 32"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5A2" w:rsidRDefault="005A55A2">
      <w:r>
        <w:separator/>
      </w:r>
    </w:p>
  </w:footnote>
  <w:footnote w:type="continuationSeparator" w:id="0">
    <w:p w:rsidR="005A55A2" w:rsidRDefault="005A5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A2" w:rsidRDefault="005A55A2">
    <w:pPr>
      <w:pStyle w:val="Header"/>
    </w:pPr>
    <w:r>
      <w:rPr>
        <w:noProof/>
        <w:lang w:eastAsia="en-GB"/>
      </w:rPr>
      <w:drawing>
        <wp:anchor distT="0" distB="0" distL="114300" distR="114300" simplePos="0" relativeHeight="251659264" behindDoc="0" locked="0" layoutInCell="1" allowOverlap="0" wp14:anchorId="04AD7981" wp14:editId="0E1AFD44">
          <wp:simplePos x="0" y="0"/>
          <wp:positionH relativeFrom="page">
            <wp:posOffset>4360545</wp:posOffset>
          </wp:positionH>
          <wp:positionV relativeFrom="page">
            <wp:posOffset>314325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2644"/>
    <w:multiLevelType w:val="hybridMultilevel"/>
    <w:tmpl w:val="76229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F44F99"/>
    <w:multiLevelType w:val="hybridMultilevel"/>
    <w:tmpl w:val="F9FA8E20"/>
    <w:lvl w:ilvl="0" w:tplc="B356654E">
      <w:numFmt w:val="bullet"/>
      <w:lvlText w:val="-"/>
      <w:lvlJc w:val="left"/>
      <w:pPr>
        <w:ind w:left="720" w:hanging="360"/>
      </w:pPr>
      <w:rPr>
        <w:rFonts w:ascii="Arial" w:eastAsia="Cambria" w:hAnsi="Arial" w:cs="Arial"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E306D"/>
    <w:multiLevelType w:val="hybridMultilevel"/>
    <w:tmpl w:val="34A2B5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D0C5AB4"/>
    <w:multiLevelType w:val="hybridMultilevel"/>
    <w:tmpl w:val="0C00C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421DF1"/>
    <w:multiLevelType w:val="hybridMultilevel"/>
    <w:tmpl w:val="E0F00D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D74434"/>
    <w:multiLevelType w:val="hybridMultilevel"/>
    <w:tmpl w:val="8FF8AD3A"/>
    <w:lvl w:ilvl="0" w:tplc="07AEDE9A">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3B6345"/>
    <w:multiLevelType w:val="hybridMultilevel"/>
    <w:tmpl w:val="84E0F1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4C406D"/>
    <w:multiLevelType w:val="hybridMultilevel"/>
    <w:tmpl w:val="A5703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B27160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3526C45"/>
    <w:multiLevelType w:val="hybridMultilevel"/>
    <w:tmpl w:val="AADA0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6D1378"/>
    <w:multiLevelType w:val="hybridMultilevel"/>
    <w:tmpl w:val="3E6656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9CC5A71"/>
    <w:multiLevelType w:val="hybridMultilevel"/>
    <w:tmpl w:val="F386E0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B461365"/>
    <w:multiLevelType w:val="hybridMultilevel"/>
    <w:tmpl w:val="997A8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453C7A"/>
    <w:multiLevelType w:val="hybridMultilevel"/>
    <w:tmpl w:val="DDC42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E70E21"/>
    <w:multiLevelType w:val="hybridMultilevel"/>
    <w:tmpl w:val="93247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4A43C36"/>
    <w:multiLevelType w:val="hybridMultilevel"/>
    <w:tmpl w:val="ADC4CFF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66686FA2"/>
    <w:multiLevelType w:val="hybridMultilevel"/>
    <w:tmpl w:val="D5C8E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8C3412A"/>
    <w:multiLevelType w:val="hybridMultilevel"/>
    <w:tmpl w:val="C1821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6"/>
  </w:num>
  <w:num w:numId="4">
    <w:abstractNumId w:val="11"/>
  </w:num>
  <w:num w:numId="5">
    <w:abstractNumId w:val="2"/>
  </w:num>
  <w:num w:numId="6">
    <w:abstractNumId w:val="0"/>
  </w:num>
  <w:num w:numId="7">
    <w:abstractNumId w:val="17"/>
  </w:num>
  <w:num w:numId="8">
    <w:abstractNumId w:val="5"/>
  </w:num>
  <w:num w:numId="9">
    <w:abstractNumId w:val="3"/>
  </w:num>
  <w:num w:numId="10">
    <w:abstractNumId w:val="15"/>
  </w:num>
  <w:num w:numId="11">
    <w:abstractNumId w:val="4"/>
  </w:num>
  <w:num w:numId="12">
    <w:abstractNumId w:val="12"/>
  </w:num>
  <w:num w:numId="13">
    <w:abstractNumId w:val="16"/>
  </w:num>
  <w:num w:numId="14">
    <w:abstractNumId w:val="9"/>
  </w:num>
  <w:num w:numId="15">
    <w:abstractNumId w:val="14"/>
  </w:num>
  <w:num w:numId="16">
    <w:abstractNumId w:val="8"/>
  </w:num>
  <w:num w:numId="17">
    <w:abstractNumId w:val="7"/>
  </w:num>
  <w:num w:numId="18">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alho Lopes, Hugo">
    <w15:presenceInfo w15:providerId="None" w15:userId="Fialho Lopes, Hu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EA"/>
    <w:rsid w:val="00020EFE"/>
    <w:rsid w:val="0002103F"/>
    <w:rsid w:val="0003459F"/>
    <w:rsid w:val="00065C10"/>
    <w:rsid w:val="000722B3"/>
    <w:rsid w:val="000735AD"/>
    <w:rsid w:val="000B3F5F"/>
    <w:rsid w:val="000F250F"/>
    <w:rsid w:val="00135B6E"/>
    <w:rsid w:val="002230E4"/>
    <w:rsid w:val="002661A3"/>
    <w:rsid w:val="002860C0"/>
    <w:rsid w:val="00292478"/>
    <w:rsid w:val="002A26EE"/>
    <w:rsid w:val="002D0ABB"/>
    <w:rsid w:val="002D6141"/>
    <w:rsid w:val="002D733D"/>
    <w:rsid w:val="0035560A"/>
    <w:rsid w:val="00392099"/>
    <w:rsid w:val="003A0DE6"/>
    <w:rsid w:val="003F0347"/>
    <w:rsid w:val="00410C11"/>
    <w:rsid w:val="00480248"/>
    <w:rsid w:val="004D18F5"/>
    <w:rsid w:val="005A2B31"/>
    <w:rsid w:val="005A55A2"/>
    <w:rsid w:val="005B6353"/>
    <w:rsid w:val="005D2E65"/>
    <w:rsid w:val="00601CCC"/>
    <w:rsid w:val="00672616"/>
    <w:rsid w:val="006800C4"/>
    <w:rsid w:val="006A2A89"/>
    <w:rsid w:val="006D40DD"/>
    <w:rsid w:val="00705D30"/>
    <w:rsid w:val="007D22DC"/>
    <w:rsid w:val="007F6D61"/>
    <w:rsid w:val="00942D8F"/>
    <w:rsid w:val="00963A78"/>
    <w:rsid w:val="009B0011"/>
    <w:rsid w:val="00A75367"/>
    <w:rsid w:val="00AD77FC"/>
    <w:rsid w:val="00AE30F9"/>
    <w:rsid w:val="00B2408F"/>
    <w:rsid w:val="00B644EA"/>
    <w:rsid w:val="00B67610"/>
    <w:rsid w:val="00C00012"/>
    <w:rsid w:val="00C25AAB"/>
    <w:rsid w:val="00C57C57"/>
    <w:rsid w:val="00C65D4F"/>
    <w:rsid w:val="00CC4D15"/>
    <w:rsid w:val="00D33FE4"/>
    <w:rsid w:val="00D401E0"/>
    <w:rsid w:val="00D55383"/>
    <w:rsid w:val="00DA1DFB"/>
    <w:rsid w:val="00DC3CB4"/>
    <w:rsid w:val="00ED3B37"/>
    <w:rsid w:val="00F47E90"/>
    <w:rsid w:val="00FA6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EA"/>
    <w:pPr>
      <w:spacing w:after="0" w:line="240" w:lineRule="auto"/>
    </w:pPr>
    <w:rPr>
      <w:rFonts w:ascii="Verdana" w:eastAsia="Cambria" w:hAnsi="Verdana" w:cs="Times New Roman"/>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EA"/>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B644EA"/>
    <w:rPr>
      <w:rFonts w:ascii="Arial" w:eastAsiaTheme="minorEastAsia" w:hAnsi="Arial"/>
      <w:sz w:val="24"/>
      <w:szCs w:val="24"/>
    </w:rPr>
  </w:style>
  <w:style w:type="paragraph" w:styleId="Footer">
    <w:name w:val="footer"/>
    <w:basedOn w:val="Normal"/>
    <w:link w:val="FooterChar"/>
    <w:uiPriority w:val="99"/>
    <w:unhideWhenUsed/>
    <w:rsid w:val="00B644EA"/>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B644EA"/>
    <w:rPr>
      <w:rFonts w:ascii="Arial" w:eastAsiaTheme="minorEastAsia" w:hAnsi="Arial"/>
      <w:sz w:val="24"/>
      <w:szCs w:val="24"/>
    </w:rPr>
  </w:style>
  <w:style w:type="paragraph" w:customStyle="1" w:styleId="Introductionparagraphpink">
    <w:name w:val="Introduction paragraph pink"/>
    <w:basedOn w:val="Normal"/>
    <w:qFormat/>
    <w:rsid w:val="00B644EA"/>
    <w:rPr>
      <w:rFonts w:ascii="Arial" w:eastAsiaTheme="minorEastAsia" w:hAnsi="Arial" w:cstheme="minorBidi"/>
      <w:color w:val="A00054"/>
      <w:spacing w:val="0"/>
    </w:rPr>
  </w:style>
  <w:style w:type="paragraph" w:customStyle="1" w:styleId="Telemailweb">
    <w:name w:val="Tel/email/web"/>
    <w:basedOn w:val="Normal"/>
    <w:uiPriority w:val="99"/>
    <w:rsid w:val="00B644EA"/>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customStyle="1" w:styleId="Body">
    <w:name w:val="Body"/>
    <w:rsid w:val="00B644EA"/>
    <w:pPr>
      <w:spacing w:after="0" w:line="240" w:lineRule="auto"/>
    </w:pPr>
    <w:rPr>
      <w:rFonts w:ascii="Arial" w:eastAsia="Arial Unicode MS" w:hAnsi="Arial Unicode MS" w:cs="Arial Unicode MS"/>
      <w:color w:val="000000"/>
      <w:sz w:val="24"/>
      <w:szCs w:val="24"/>
      <w:u w:color="000000"/>
      <w:lang w:eastAsia="en-GB"/>
    </w:rPr>
  </w:style>
  <w:style w:type="paragraph" w:styleId="ListParagraph">
    <w:name w:val="List Paragraph"/>
    <w:basedOn w:val="Normal"/>
    <w:uiPriority w:val="34"/>
    <w:qFormat/>
    <w:rsid w:val="00B644EA"/>
    <w:pPr>
      <w:ind w:left="720"/>
      <w:contextualSpacing/>
    </w:pPr>
  </w:style>
  <w:style w:type="character" w:styleId="CommentReference">
    <w:name w:val="annotation reference"/>
    <w:basedOn w:val="DefaultParagraphFont"/>
    <w:uiPriority w:val="99"/>
    <w:semiHidden/>
    <w:unhideWhenUsed/>
    <w:rsid w:val="000F250F"/>
    <w:rPr>
      <w:sz w:val="18"/>
      <w:szCs w:val="18"/>
    </w:rPr>
  </w:style>
  <w:style w:type="paragraph" w:styleId="CommentText">
    <w:name w:val="annotation text"/>
    <w:basedOn w:val="Normal"/>
    <w:link w:val="CommentTextChar"/>
    <w:uiPriority w:val="99"/>
    <w:semiHidden/>
    <w:unhideWhenUsed/>
    <w:rsid w:val="000F250F"/>
  </w:style>
  <w:style w:type="character" w:customStyle="1" w:styleId="CommentTextChar">
    <w:name w:val="Comment Text Char"/>
    <w:basedOn w:val="DefaultParagraphFont"/>
    <w:link w:val="CommentText"/>
    <w:uiPriority w:val="99"/>
    <w:semiHidden/>
    <w:rsid w:val="000F250F"/>
    <w:rPr>
      <w:rFonts w:ascii="Verdana" w:eastAsia="Cambria" w:hAnsi="Verdana" w:cs="Times New Roman"/>
      <w:spacing w:val="2"/>
      <w:sz w:val="24"/>
      <w:szCs w:val="24"/>
    </w:rPr>
  </w:style>
  <w:style w:type="paragraph" w:styleId="CommentSubject">
    <w:name w:val="annotation subject"/>
    <w:basedOn w:val="CommentText"/>
    <w:next w:val="CommentText"/>
    <w:link w:val="CommentSubjectChar"/>
    <w:uiPriority w:val="99"/>
    <w:semiHidden/>
    <w:unhideWhenUsed/>
    <w:rsid w:val="000F250F"/>
    <w:rPr>
      <w:b/>
      <w:bCs/>
      <w:sz w:val="20"/>
      <w:szCs w:val="20"/>
    </w:rPr>
  </w:style>
  <w:style w:type="character" w:customStyle="1" w:styleId="CommentSubjectChar">
    <w:name w:val="Comment Subject Char"/>
    <w:basedOn w:val="CommentTextChar"/>
    <w:link w:val="CommentSubject"/>
    <w:uiPriority w:val="99"/>
    <w:semiHidden/>
    <w:rsid w:val="000F250F"/>
    <w:rPr>
      <w:rFonts w:ascii="Verdana" w:eastAsia="Cambria" w:hAnsi="Verdana" w:cs="Times New Roman"/>
      <w:b/>
      <w:bCs/>
      <w:spacing w:val="2"/>
      <w:sz w:val="20"/>
      <w:szCs w:val="20"/>
    </w:rPr>
  </w:style>
  <w:style w:type="paragraph" w:styleId="BalloonText">
    <w:name w:val="Balloon Text"/>
    <w:basedOn w:val="Normal"/>
    <w:link w:val="BalloonTextChar"/>
    <w:uiPriority w:val="99"/>
    <w:semiHidden/>
    <w:unhideWhenUsed/>
    <w:rsid w:val="000F250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250F"/>
    <w:rPr>
      <w:rFonts w:ascii="Times New Roman" w:eastAsia="Cambria" w:hAnsi="Times New Roman" w:cs="Times New Roman"/>
      <w:spacing w:val="2"/>
      <w:sz w:val="18"/>
      <w:szCs w:val="18"/>
    </w:rPr>
  </w:style>
  <w:style w:type="character" w:styleId="Hyperlink">
    <w:name w:val="Hyperlink"/>
    <w:uiPriority w:val="99"/>
    <w:unhideWhenUsed/>
    <w:rsid w:val="00135B6E"/>
    <w:rPr>
      <w:color w:val="0000FF"/>
      <w:u w:val="single"/>
    </w:rPr>
  </w:style>
  <w:style w:type="character" w:styleId="FollowedHyperlink">
    <w:name w:val="FollowedHyperlink"/>
    <w:basedOn w:val="DefaultParagraphFont"/>
    <w:uiPriority w:val="99"/>
    <w:semiHidden/>
    <w:unhideWhenUsed/>
    <w:rsid w:val="00135B6E"/>
    <w:rPr>
      <w:color w:val="800080" w:themeColor="followedHyperlink"/>
      <w:u w:val="single"/>
    </w:rPr>
  </w:style>
  <w:style w:type="paragraph" w:styleId="Caption">
    <w:name w:val="caption"/>
    <w:basedOn w:val="Normal"/>
    <w:next w:val="Normal"/>
    <w:uiPriority w:val="35"/>
    <w:unhideWhenUsed/>
    <w:qFormat/>
    <w:rsid w:val="0003459F"/>
    <w:pPr>
      <w:spacing w:after="200"/>
    </w:pPr>
    <w:rPr>
      <w:b/>
      <w:bCs/>
      <w:color w:val="4F81BD" w:themeColor="accent1"/>
      <w:sz w:val="18"/>
      <w:szCs w:val="18"/>
    </w:rPr>
  </w:style>
  <w:style w:type="paragraph" w:styleId="NormalWeb">
    <w:name w:val="Normal (Web)"/>
    <w:basedOn w:val="Normal"/>
    <w:uiPriority w:val="99"/>
    <w:semiHidden/>
    <w:unhideWhenUsed/>
    <w:rsid w:val="00C00012"/>
    <w:pPr>
      <w:spacing w:before="360" w:after="360"/>
    </w:pPr>
    <w:rPr>
      <w:rFonts w:ascii="Calibri" w:eastAsia="Times New Roman" w:hAnsi="Calibri"/>
      <w:spacing w:val="0"/>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EA"/>
    <w:pPr>
      <w:spacing w:after="0" w:line="240" w:lineRule="auto"/>
    </w:pPr>
    <w:rPr>
      <w:rFonts w:ascii="Verdana" w:eastAsia="Cambria" w:hAnsi="Verdana" w:cs="Times New Roman"/>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EA"/>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B644EA"/>
    <w:rPr>
      <w:rFonts w:ascii="Arial" w:eastAsiaTheme="minorEastAsia" w:hAnsi="Arial"/>
      <w:sz w:val="24"/>
      <w:szCs w:val="24"/>
    </w:rPr>
  </w:style>
  <w:style w:type="paragraph" w:styleId="Footer">
    <w:name w:val="footer"/>
    <w:basedOn w:val="Normal"/>
    <w:link w:val="FooterChar"/>
    <w:uiPriority w:val="99"/>
    <w:unhideWhenUsed/>
    <w:rsid w:val="00B644EA"/>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B644EA"/>
    <w:rPr>
      <w:rFonts w:ascii="Arial" w:eastAsiaTheme="minorEastAsia" w:hAnsi="Arial"/>
      <w:sz w:val="24"/>
      <w:szCs w:val="24"/>
    </w:rPr>
  </w:style>
  <w:style w:type="paragraph" w:customStyle="1" w:styleId="Introductionparagraphpink">
    <w:name w:val="Introduction paragraph pink"/>
    <w:basedOn w:val="Normal"/>
    <w:qFormat/>
    <w:rsid w:val="00B644EA"/>
    <w:rPr>
      <w:rFonts w:ascii="Arial" w:eastAsiaTheme="minorEastAsia" w:hAnsi="Arial" w:cstheme="minorBidi"/>
      <w:color w:val="A00054"/>
      <w:spacing w:val="0"/>
    </w:rPr>
  </w:style>
  <w:style w:type="paragraph" w:customStyle="1" w:styleId="Telemailweb">
    <w:name w:val="Tel/email/web"/>
    <w:basedOn w:val="Normal"/>
    <w:uiPriority w:val="99"/>
    <w:rsid w:val="00B644EA"/>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customStyle="1" w:styleId="Body">
    <w:name w:val="Body"/>
    <w:rsid w:val="00B644EA"/>
    <w:pPr>
      <w:spacing w:after="0" w:line="240" w:lineRule="auto"/>
    </w:pPr>
    <w:rPr>
      <w:rFonts w:ascii="Arial" w:eastAsia="Arial Unicode MS" w:hAnsi="Arial Unicode MS" w:cs="Arial Unicode MS"/>
      <w:color w:val="000000"/>
      <w:sz w:val="24"/>
      <w:szCs w:val="24"/>
      <w:u w:color="000000"/>
      <w:lang w:eastAsia="en-GB"/>
    </w:rPr>
  </w:style>
  <w:style w:type="paragraph" w:styleId="ListParagraph">
    <w:name w:val="List Paragraph"/>
    <w:basedOn w:val="Normal"/>
    <w:uiPriority w:val="34"/>
    <w:qFormat/>
    <w:rsid w:val="00B644EA"/>
    <w:pPr>
      <w:ind w:left="720"/>
      <w:contextualSpacing/>
    </w:pPr>
  </w:style>
  <w:style w:type="character" w:styleId="CommentReference">
    <w:name w:val="annotation reference"/>
    <w:basedOn w:val="DefaultParagraphFont"/>
    <w:uiPriority w:val="99"/>
    <w:semiHidden/>
    <w:unhideWhenUsed/>
    <w:rsid w:val="000F250F"/>
    <w:rPr>
      <w:sz w:val="18"/>
      <w:szCs w:val="18"/>
    </w:rPr>
  </w:style>
  <w:style w:type="paragraph" w:styleId="CommentText">
    <w:name w:val="annotation text"/>
    <w:basedOn w:val="Normal"/>
    <w:link w:val="CommentTextChar"/>
    <w:uiPriority w:val="99"/>
    <w:semiHidden/>
    <w:unhideWhenUsed/>
    <w:rsid w:val="000F250F"/>
  </w:style>
  <w:style w:type="character" w:customStyle="1" w:styleId="CommentTextChar">
    <w:name w:val="Comment Text Char"/>
    <w:basedOn w:val="DefaultParagraphFont"/>
    <w:link w:val="CommentText"/>
    <w:uiPriority w:val="99"/>
    <w:semiHidden/>
    <w:rsid w:val="000F250F"/>
    <w:rPr>
      <w:rFonts w:ascii="Verdana" w:eastAsia="Cambria" w:hAnsi="Verdana" w:cs="Times New Roman"/>
      <w:spacing w:val="2"/>
      <w:sz w:val="24"/>
      <w:szCs w:val="24"/>
    </w:rPr>
  </w:style>
  <w:style w:type="paragraph" w:styleId="CommentSubject">
    <w:name w:val="annotation subject"/>
    <w:basedOn w:val="CommentText"/>
    <w:next w:val="CommentText"/>
    <w:link w:val="CommentSubjectChar"/>
    <w:uiPriority w:val="99"/>
    <w:semiHidden/>
    <w:unhideWhenUsed/>
    <w:rsid w:val="000F250F"/>
    <w:rPr>
      <w:b/>
      <w:bCs/>
      <w:sz w:val="20"/>
      <w:szCs w:val="20"/>
    </w:rPr>
  </w:style>
  <w:style w:type="character" w:customStyle="1" w:styleId="CommentSubjectChar">
    <w:name w:val="Comment Subject Char"/>
    <w:basedOn w:val="CommentTextChar"/>
    <w:link w:val="CommentSubject"/>
    <w:uiPriority w:val="99"/>
    <w:semiHidden/>
    <w:rsid w:val="000F250F"/>
    <w:rPr>
      <w:rFonts w:ascii="Verdana" w:eastAsia="Cambria" w:hAnsi="Verdana" w:cs="Times New Roman"/>
      <w:b/>
      <w:bCs/>
      <w:spacing w:val="2"/>
      <w:sz w:val="20"/>
      <w:szCs w:val="20"/>
    </w:rPr>
  </w:style>
  <w:style w:type="paragraph" w:styleId="BalloonText">
    <w:name w:val="Balloon Text"/>
    <w:basedOn w:val="Normal"/>
    <w:link w:val="BalloonTextChar"/>
    <w:uiPriority w:val="99"/>
    <w:semiHidden/>
    <w:unhideWhenUsed/>
    <w:rsid w:val="000F250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250F"/>
    <w:rPr>
      <w:rFonts w:ascii="Times New Roman" w:eastAsia="Cambria" w:hAnsi="Times New Roman" w:cs="Times New Roman"/>
      <w:spacing w:val="2"/>
      <w:sz w:val="18"/>
      <w:szCs w:val="18"/>
    </w:rPr>
  </w:style>
  <w:style w:type="character" w:styleId="Hyperlink">
    <w:name w:val="Hyperlink"/>
    <w:uiPriority w:val="99"/>
    <w:unhideWhenUsed/>
    <w:rsid w:val="00135B6E"/>
    <w:rPr>
      <w:color w:val="0000FF"/>
      <w:u w:val="single"/>
    </w:rPr>
  </w:style>
  <w:style w:type="character" w:styleId="FollowedHyperlink">
    <w:name w:val="FollowedHyperlink"/>
    <w:basedOn w:val="DefaultParagraphFont"/>
    <w:uiPriority w:val="99"/>
    <w:semiHidden/>
    <w:unhideWhenUsed/>
    <w:rsid w:val="00135B6E"/>
    <w:rPr>
      <w:color w:val="800080" w:themeColor="followedHyperlink"/>
      <w:u w:val="single"/>
    </w:rPr>
  </w:style>
  <w:style w:type="paragraph" w:styleId="Caption">
    <w:name w:val="caption"/>
    <w:basedOn w:val="Normal"/>
    <w:next w:val="Normal"/>
    <w:uiPriority w:val="35"/>
    <w:unhideWhenUsed/>
    <w:qFormat/>
    <w:rsid w:val="0003459F"/>
    <w:pPr>
      <w:spacing w:after="200"/>
    </w:pPr>
    <w:rPr>
      <w:b/>
      <w:bCs/>
      <w:color w:val="4F81BD" w:themeColor="accent1"/>
      <w:sz w:val="18"/>
      <w:szCs w:val="18"/>
    </w:rPr>
  </w:style>
  <w:style w:type="paragraph" w:styleId="NormalWeb">
    <w:name w:val="Normal (Web)"/>
    <w:basedOn w:val="Normal"/>
    <w:uiPriority w:val="99"/>
    <w:semiHidden/>
    <w:unhideWhenUsed/>
    <w:rsid w:val="00C00012"/>
    <w:pPr>
      <w:spacing w:before="360" w:after="360"/>
    </w:pPr>
    <w:rPr>
      <w:rFonts w:ascii="Calibri" w:eastAsia="Times New Roman" w:hAnsi="Calibri"/>
      <w:spacing w:val="0"/>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841277">
      <w:bodyDiv w:val="1"/>
      <w:marLeft w:val="0"/>
      <w:marRight w:val="0"/>
      <w:marTop w:val="0"/>
      <w:marBottom w:val="0"/>
      <w:divBdr>
        <w:top w:val="none" w:sz="0" w:space="0" w:color="auto"/>
        <w:left w:val="none" w:sz="0" w:space="0" w:color="auto"/>
        <w:bottom w:val="none" w:sz="0" w:space="0" w:color="auto"/>
        <w:right w:val="none" w:sz="0" w:space="0" w:color="auto"/>
      </w:divBdr>
      <w:divsChild>
        <w:div w:id="1625848954">
          <w:marLeft w:val="0"/>
          <w:marRight w:val="0"/>
          <w:marTop w:val="0"/>
          <w:marBottom w:val="0"/>
          <w:divBdr>
            <w:top w:val="none" w:sz="0" w:space="0" w:color="auto"/>
            <w:left w:val="none" w:sz="0" w:space="0" w:color="auto"/>
            <w:bottom w:val="none" w:sz="0" w:space="0" w:color="auto"/>
            <w:right w:val="none" w:sz="0" w:space="0" w:color="auto"/>
          </w:divBdr>
          <w:divsChild>
            <w:div w:id="1683506637">
              <w:marLeft w:val="0"/>
              <w:marRight w:val="0"/>
              <w:marTop w:val="0"/>
              <w:marBottom w:val="0"/>
              <w:divBdr>
                <w:top w:val="none" w:sz="0" w:space="0" w:color="auto"/>
                <w:left w:val="none" w:sz="0" w:space="0" w:color="auto"/>
                <w:bottom w:val="none" w:sz="0" w:space="0" w:color="auto"/>
                <w:right w:val="none" w:sz="0" w:space="0" w:color="auto"/>
              </w:divBdr>
              <w:divsChild>
                <w:div w:id="1234243784">
                  <w:marLeft w:val="0"/>
                  <w:marRight w:val="0"/>
                  <w:marTop w:val="0"/>
                  <w:marBottom w:val="0"/>
                  <w:divBdr>
                    <w:top w:val="none" w:sz="0" w:space="0" w:color="auto"/>
                    <w:left w:val="none" w:sz="0" w:space="0" w:color="auto"/>
                    <w:bottom w:val="none" w:sz="0" w:space="0" w:color="auto"/>
                    <w:right w:val="none" w:sz="0" w:space="0" w:color="auto"/>
                  </w:divBdr>
                  <w:divsChild>
                    <w:div w:id="402879174">
                      <w:marLeft w:val="0"/>
                      <w:marRight w:val="0"/>
                      <w:marTop w:val="0"/>
                      <w:marBottom w:val="0"/>
                      <w:divBdr>
                        <w:top w:val="none" w:sz="0" w:space="0" w:color="auto"/>
                        <w:left w:val="none" w:sz="0" w:space="0" w:color="auto"/>
                        <w:bottom w:val="none" w:sz="0" w:space="0" w:color="auto"/>
                        <w:right w:val="none" w:sz="0" w:space="0" w:color="auto"/>
                      </w:divBdr>
                      <w:divsChild>
                        <w:div w:id="1796755769">
                          <w:marLeft w:val="0"/>
                          <w:marRight w:val="0"/>
                          <w:marTop w:val="0"/>
                          <w:marBottom w:val="0"/>
                          <w:divBdr>
                            <w:top w:val="none" w:sz="0" w:space="0" w:color="auto"/>
                            <w:left w:val="none" w:sz="0" w:space="0" w:color="auto"/>
                            <w:bottom w:val="none" w:sz="0" w:space="0" w:color="auto"/>
                            <w:right w:val="none" w:sz="0" w:space="0" w:color="auto"/>
                          </w:divBdr>
                          <w:divsChild>
                            <w:div w:id="695034920">
                              <w:marLeft w:val="0"/>
                              <w:marRight w:val="0"/>
                              <w:marTop w:val="0"/>
                              <w:marBottom w:val="0"/>
                              <w:divBdr>
                                <w:top w:val="none" w:sz="0" w:space="0" w:color="auto"/>
                                <w:left w:val="none" w:sz="0" w:space="0" w:color="auto"/>
                                <w:bottom w:val="none" w:sz="0" w:space="0" w:color="auto"/>
                                <w:right w:val="none" w:sz="0" w:space="0" w:color="auto"/>
                              </w:divBdr>
                              <w:divsChild>
                                <w:div w:id="90198927">
                                  <w:marLeft w:val="0"/>
                                  <w:marRight w:val="0"/>
                                  <w:marTop w:val="0"/>
                                  <w:marBottom w:val="0"/>
                                  <w:divBdr>
                                    <w:top w:val="none" w:sz="0" w:space="0" w:color="auto"/>
                                    <w:left w:val="none" w:sz="0" w:space="0" w:color="auto"/>
                                    <w:bottom w:val="none" w:sz="0" w:space="0" w:color="auto"/>
                                    <w:right w:val="none" w:sz="0" w:space="0" w:color="auto"/>
                                  </w:divBdr>
                                  <w:divsChild>
                                    <w:div w:id="872351511">
                                      <w:marLeft w:val="0"/>
                                      <w:marRight w:val="0"/>
                                      <w:marTop w:val="0"/>
                                      <w:marBottom w:val="0"/>
                                      <w:divBdr>
                                        <w:top w:val="none" w:sz="0" w:space="0" w:color="auto"/>
                                        <w:left w:val="none" w:sz="0" w:space="0" w:color="auto"/>
                                        <w:bottom w:val="none" w:sz="0" w:space="0" w:color="auto"/>
                                        <w:right w:val="none" w:sz="0" w:space="0" w:color="auto"/>
                                      </w:divBdr>
                                      <w:divsChild>
                                        <w:div w:id="1253857511">
                                          <w:marLeft w:val="0"/>
                                          <w:marRight w:val="0"/>
                                          <w:marTop w:val="0"/>
                                          <w:marBottom w:val="0"/>
                                          <w:divBdr>
                                            <w:top w:val="none" w:sz="0" w:space="0" w:color="auto"/>
                                            <w:left w:val="none" w:sz="0" w:space="0" w:color="auto"/>
                                            <w:bottom w:val="none" w:sz="0" w:space="0" w:color="auto"/>
                                            <w:right w:val="none" w:sz="0" w:space="0" w:color="auto"/>
                                          </w:divBdr>
                                          <w:divsChild>
                                            <w:div w:id="640841238">
                                              <w:marLeft w:val="0"/>
                                              <w:marRight w:val="0"/>
                                              <w:marTop w:val="0"/>
                                              <w:marBottom w:val="0"/>
                                              <w:divBdr>
                                                <w:top w:val="none" w:sz="0" w:space="0" w:color="auto"/>
                                                <w:left w:val="none" w:sz="0" w:space="0" w:color="auto"/>
                                                <w:bottom w:val="none" w:sz="0" w:space="0" w:color="auto"/>
                                                <w:right w:val="none" w:sz="0" w:space="0" w:color="auto"/>
                                              </w:divBdr>
                                            </w:div>
                                            <w:div w:id="15847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package" Target="embeddings/Microsoft_Word_Document2.docx"/><Relationship Id="rId25" Type="http://schemas.openxmlformats.org/officeDocument/2006/relationships/hyperlink" Target="http://www.scotlandscensus.gov.uk/en/" TargetMode="External"/><Relationship Id="rId3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hyperlink" Target="https://heeoe.hee.nhs.uk/PSU_Hom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ct.org.uk/" TargetMode="External"/><Relationship Id="rId24" Type="http://schemas.openxmlformats.org/officeDocument/2006/relationships/hyperlink" Target="http://onlinelibrary.wiley.com/doi/10.1111/j.1469-7610.1990.tb01561.x/abstrac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hyperlink" Target="http://onlinelibrary.wiley.com/doi/10.1111/jcpp.1990.31.issue-2/issuetoc" TargetMode="External"/><Relationship Id="rId28" Type="http://schemas.openxmlformats.org/officeDocument/2006/relationships/header" Target="header1.xml"/><Relationship Id="rId10" Type="http://schemas.openxmlformats.org/officeDocument/2006/relationships/hyperlink" Target="http://www.gmc-uk.org/education/undergraduate/15_6_provisions_of_the_gold_guide.asp" TargetMode="External"/><Relationship Id="rId19" Type="http://schemas.openxmlformats.org/officeDocument/2006/relationships/package" Target="embeddings/Microsoft_Word_Document3.doc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oedeanery.nhs.uk/document_store_public/1279897102_nKpG_eoe_fp_doctors_with_differing_needs_2010.pdf" TargetMode="External"/><Relationship Id="rId14" Type="http://schemas.openxmlformats.org/officeDocument/2006/relationships/image" Target="media/image4.emf"/><Relationship Id="rId22" Type="http://schemas.openxmlformats.org/officeDocument/2006/relationships/package" Target="embeddings/Microsoft_Word_Document4.docx"/><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16</Pages>
  <Words>3909</Words>
  <Characters>22285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West Suffolk Hospital</Company>
  <LinksUpToDate>false</LinksUpToDate>
  <CharactersWithSpaces>26142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Winchester</dc:creator>
  <cp:lastModifiedBy>Becca Winchester</cp:lastModifiedBy>
  <cp:revision>7</cp:revision>
  <cp:lastPrinted>2016-11-02T11:44:00Z</cp:lastPrinted>
  <dcterms:created xsi:type="dcterms:W3CDTF">2017-01-18T11:45:00Z</dcterms:created>
  <dcterms:modified xsi:type="dcterms:W3CDTF">2017-01-30T08:41:00Z</dcterms:modified>
</cp:coreProperties>
</file>