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02" w:rsidRPr="00CA261C" w:rsidRDefault="00BD4F9B" w:rsidP="00E530CD">
      <w:pPr>
        <w:pStyle w:val="BodyText"/>
        <w:spacing w:line="360" w:lineRule="auto"/>
        <w:rPr>
          <w:rStyle w:val="Emphasis"/>
          <w:rFonts w:cs="Arial"/>
          <w:i w:val="0"/>
          <w:sz w:val="24"/>
        </w:rPr>
      </w:pPr>
      <w:bookmarkStart w:id="0" w:name="_GoBack"/>
      <w:bookmarkEnd w:id="0"/>
      <w:r w:rsidRPr="00CA261C">
        <w:rPr>
          <w:rStyle w:val="Emphasis"/>
          <w:rFonts w:cs="Arial"/>
          <w:i w:val="0"/>
          <w:sz w:val="24"/>
        </w:rPr>
        <w:t xml:space="preserve">Service Delivery Standards </w:t>
      </w:r>
    </w:p>
    <w:p w:rsidR="007F0F5D" w:rsidRPr="00CA261C" w:rsidRDefault="00BD4F9B" w:rsidP="00E530CD">
      <w:pPr>
        <w:pStyle w:val="BodyText"/>
        <w:spacing w:line="360" w:lineRule="auto"/>
        <w:rPr>
          <w:rStyle w:val="Emphasis"/>
          <w:rFonts w:cs="Arial"/>
          <w:i w:val="0"/>
          <w:sz w:val="24"/>
        </w:rPr>
      </w:pPr>
      <w:r w:rsidRPr="00CA261C">
        <w:rPr>
          <w:rStyle w:val="Emphasis"/>
          <w:rFonts w:cs="Arial"/>
          <w:i w:val="0"/>
          <w:sz w:val="24"/>
        </w:rPr>
        <w:t>T</w:t>
      </w:r>
      <w:r w:rsidR="00FC7079" w:rsidRPr="00CA261C">
        <w:rPr>
          <w:rStyle w:val="Emphasis"/>
          <w:rFonts w:cs="Arial"/>
          <w:i w:val="0"/>
          <w:sz w:val="24"/>
        </w:rPr>
        <w:t>he Management and Administrati</w:t>
      </w:r>
      <w:r w:rsidRPr="00CA261C">
        <w:rPr>
          <w:rStyle w:val="Emphasis"/>
          <w:rFonts w:cs="Arial"/>
          <w:i w:val="0"/>
          <w:sz w:val="24"/>
        </w:rPr>
        <w:t>on</w:t>
      </w:r>
      <w:r w:rsidR="00FC7079" w:rsidRPr="00CA261C">
        <w:rPr>
          <w:rStyle w:val="Emphasis"/>
          <w:rFonts w:cs="Arial"/>
          <w:i w:val="0"/>
          <w:sz w:val="24"/>
        </w:rPr>
        <w:t xml:space="preserve"> </w:t>
      </w:r>
      <w:r w:rsidRPr="00CA261C">
        <w:rPr>
          <w:rStyle w:val="Emphasis"/>
          <w:rFonts w:cs="Arial"/>
          <w:i w:val="0"/>
          <w:sz w:val="24"/>
        </w:rPr>
        <w:t>of Postgraduate Medical Education</w:t>
      </w:r>
      <w:r w:rsidR="00FC7079" w:rsidRPr="00CA261C">
        <w:rPr>
          <w:rStyle w:val="Emphasis"/>
          <w:rFonts w:cs="Arial"/>
          <w:i w:val="0"/>
          <w:sz w:val="24"/>
        </w:rPr>
        <w:t xml:space="preserve"> </w:t>
      </w:r>
    </w:p>
    <w:tbl>
      <w:tblPr>
        <w:tblW w:w="101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2"/>
        <w:gridCol w:w="8029"/>
      </w:tblGrid>
      <w:tr w:rsidR="00565927" w:rsidRPr="00CA261C" w:rsidTr="00484197">
        <w:trPr>
          <w:trHeight w:val="345"/>
          <w:jc w:val="center"/>
        </w:trPr>
        <w:tc>
          <w:tcPr>
            <w:tcW w:w="2122" w:type="dxa"/>
            <w:shd w:val="clear" w:color="auto" w:fill="595959"/>
            <w:vAlign w:val="center"/>
          </w:tcPr>
          <w:p w:rsidR="00565927" w:rsidRPr="00CA261C" w:rsidRDefault="00565927" w:rsidP="00E530CD">
            <w:pPr>
              <w:pStyle w:val="BodyText"/>
              <w:spacing w:line="360" w:lineRule="auto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Service</w:t>
            </w:r>
          </w:p>
        </w:tc>
        <w:tc>
          <w:tcPr>
            <w:tcW w:w="8029" w:type="dxa"/>
            <w:vAlign w:val="center"/>
          </w:tcPr>
          <w:p w:rsidR="00565927" w:rsidRPr="00CA261C" w:rsidRDefault="009C06A1" w:rsidP="00E530CD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>
              <w:rPr>
                <w:rStyle w:val="Emphasis"/>
                <w:rFonts w:cs="Arial"/>
                <w:b w:val="0"/>
                <w:i w:val="0"/>
                <w:sz w:val="24"/>
              </w:rPr>
              <w:t xml:space="preserve"> Induction (</w:t>
            </w:r>
            <w:r w:rsidR="0011299B" w:rsidRPr="00CA261C">
              <w:rPr>
                <w:rStyle w:val="Emphasis"/>
                <w:rFonts w:cs="Arial"/>
                <w:b w:val="0"/>
                <w:i w:val="0"/>
                <w:sz w:val="24"/>
              </w:rPr>
              <w:t>Trust</w:t>
            </w:r>
            <w:r>
              <w:rPr>
                <w:rStyle w:val="Emphasis"/>
                <w:rFonts w:cs="Arial"/>
                <w:b w:val="0"/>
                <w:i w:val="0"/>
                <w:sz w:val="24"/>
              </w:rPr>
              <w:t xml:space="preserve"> and Departmental</w:t>
            </w:r>
            <w:r w:rsidR="0011299B" w:rsidRPr="00CA261C">
              <w:rPr>
                <w:rStyle w:val="Emphasis"/>
                <w:rFonts w:cs="Arial"/>
                <w:b w:val="0"/>
                <w:i w:val="0"/>
                <w:sz w:val="24"/>
              </w:rPr>
              <w:t>)</w:t>
            </w:r>
          </w:p>
        </w:tc>
      </w:tr>
      <w:tr w:rsidR="00565927" w:rsidRPr="00CA261C" w:rsidTr="00484197">
        <w:trPr>
          <w:trHeight w:val="345"/>
          <w:jc w:val="center"/>
        </w:trPr>
        <w:tc>
          <w:tcPr>
            <w:tcW w:w="2122" w:type="dxa"/>
            <w:shd w:val="clear" w:color="auto" w:fill="595959"/>
            <w:vAlign w:val="center"/>
          </w:tcPr>
          <w:p w:rsidR="00565927" w:rsidRPr="00CA261C" w:rsidRDefault="00565927" w:rsidP="00E530CD">
            <w:pPr>
              <w:pStyle w:val="BodyText"/>
              <w:spacing w:line="360" w:lineRule="auto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Author</w:t>
            </w:r>
          </w:p>
        </w:tc>
        <w:tc>
          <w:tcPr>
            <w:tcW w:w="8029" w:type="dxa"/>
            <w:vAlign w:val="center"/>
          </w:tcPr>
          <w:p w:rsidR="00565927" w:rsidRPr="00CA261C" w:rsidRDefault="0019607A" w:rsidP="00E530CD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Education Centre </w:t>
            </w:r>
          </w:p>
        </w:tc>
      </w:tr>
      <w:tr w:rsidR="00565927" w:rsidRPr="00CA261C" w:rsidTr="00484197">
        <w:trPr>
          <w:trHeight w:val="345"/>
          <w:jc w:val="center"/>
        </w:trPr>
        <w:tc>
          <w:tcPr>
            <w:tcW w:w="2122" w:type="dxa"/>
            <w:shd w:val="clear" w:color="auto" w:fill="595959"/>
            <w:vAlign w:val="center"/>
          </w:tcPr>
          <w:p w:rsidR="00565927" w:rsidRPr="00CA261C" w:rsidRDefault="00565927" w:rsidP="00E530CD">
            <w:pPr>
              <w:pStyle w:val="BodyText"/>
              <w:spacing w:line="360" w:lineRule="auto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Provider</w:t>
            </w:r>
          </w:p>
        </w:tc>
        <w:tc>
          <w:tcPr>
            <w:tcW w:w="8029" w:type="dxa"/>
            <w:vAlign w:val="center"/>
          </w:tcPr>
          <w:p w:rsidR="00565927" w:rsidRPr="00CA261C" w:rsidRDefault="0019607A" w:rsidP="00E530CD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Trust </w:t>
            </w:r>
          </w:p>
        </w:tc>
      </w:tr>
      <w:tr w:rsidR="00565927" w:rsidRPr="00CA261C" w:rsidTr="00484197">
        <w:trPr>
          <w:trHeight w:val="345"/>
          <w:jc w:val="center"/>
        </w:trPr>
        <w:tc>
          <w:tcPr>
            <w:tcW w:w="2122" w:type="dxa"/>
            <w:shd w:val="clear" w:color="auto" w:fill="595959"/>
            <w:vAlign w:val="center"/>
          </w:tcPr>
          <w:p w:rsidR="00565927" w:rsidRPr="00CA261C" w:rsidRDefault="00565927" w:rsidP="00E530CD">
            <w:pPr>
              <w:pStyle w:val="BodyText"/>
              <w:spacing w:line="360" w:lineRule="auto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Period</w:t>
            </w:r>
          </w:p>
        </w:tc>
        <w:tc>
          <w:tcPr>
            <w:tcW w:w="8029" w:type="dxa"/>
            <w:vAlign w:val="center"/>
          </w:tcPr>
          <w:p w:rsidR="00565927" w:rsidRPr="00CA261C" w:rsidRDefault="0019607A" w:rsidP="00E530CD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1 August 2014 – 1 August 2015</w:t>
            </w:r>
            <w:r w:rsidR="00FC7079"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 </w:t>
            </w:r>
          </w:p>
        </w:tc>
      </w:tr>
    </w:tbl>
    <w:p w:rsidR="007F0F5D" w:rsidRPr="00CA261C" w:rsidRDefault="007F0F5D" w:rsidP="00E530CD">
      <w:pPr>
        <w:pStyle w:val="BodyText"/>
        <w:spacing w:line="360" w:lineRule="auto"/>
        <w:jc w:val="both"/>
        <w:rPr>
          <w:rStyle w:val="Emphasis"/>
          <w:rFonts w:cs="Arial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18"/>
      </w:tblGrid>
      <w:tr w:rsidR="007F0F5D" w:rsidRPr="00CA261C" w:rsidTr="009C06A1">
        <w:trPr>
          <w:trHeight w:val="1020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666666"/>
          </w:tcPr>
          <w:p w:rsidR="00F55CE9" w:rsidRPr="00CA261C" w:rsidRDefault="00F55CE9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0"/>
                <w:szCs w:val="20"/>
              </w:rPr>
            </w:pPr>
          </w:p>
          <w:p w:rsidR="007F0F5D" w:rsidRPr="00CA261C" w:rsidRDefault="007F0F5D" w:rsidP="00CA261C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 xml:space="preserve">1.  </w:t>
            </w:r>
            <w:r w:rsidR="00770655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 xml:space="preserve">Aims and Expected Outcomes </w:t>
            </w:r>
          </w:p>
        </w:tc>
      </w:tr>
      <w:tr w:rsidR="007F0F5D" w:rsidRPr="00CA261C" w:rsidTr="009C06A1">
        <w:tc>
          <w:tcPr>
            <w:tcW w:w="101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4629" w:rsidRPr="00CA261C" w:rsidRDefault="00314629" w:rsidP="00F55CE9">
            <w:pPr>
              <w:spacing w:line="360" w:lineRule="auto"/>
              <w:jc w:val="both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Aim</w:t>
            </w:r>
          </w:p>
          <w:p w:rsidR="00314629" w:rsidRPr="00CA261C" w:rsidRDefault="00314629" w:rsidP="00F55CE9">
            <w:pPr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The aim of the service is to provide </w:t>
            </w:r>
            <w:r w:rsidR="00E06F10" w:rsidRPr="00CA261C">
              <w:rPr>
                <w:rStyle w:val="Emphasis"/>
                <w:rFonts w:cs="Arial"/>
                <w:i w:val="0"/>
                <w:sz w:val="24"/>
              </w:rPr>
              <w:t>ensure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 </w:t>
            </w:r>
            <w:r w:rsidR="00E530CD" w:rsidRPr="00CA261C">
              <w:rPr>
                <w:rStyle w:val="Emphasis"/>
                <w:rFonts w:cs="Arial"/>
                <w:i w:val="0"/>
                <w:sz w:val="24"/>
              </w:rPr>
              <w:t xml:space="preserve">appropriate Trust and Departmental Induction processes for all training grade doctors </w:t>
            </w:r>
          </w:p>
          <w:p w:rsidR="00314629" w:rsidRPr="00CA261C" w:rsidRDefault="00314629" w:rsidP="00F55CE9">
            <w:pPr>
              <w:spacing w:line="360" w:lineRule="auto"/>
              <w:jc w:val="both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 xml:space="preserve">Expected Outcomes </w:t>
            </w:r>
          </w:p>
          <w:p w:rsidR="00314629" w:rsidRPr="00CA261C" w:rsidRDefault="00314629" w:rsidP="00CA261C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Compliance with the </w:t>
            </w:r>
            <w:r w:rsidR="00E530CD" w:rsidRPr="00CA261C">
              <w:rPr>
                <w:rStyle w:val="Emphasis"/>
                <w:rFonts w:cs="Arial"/>
                <w:b w:val="0"/>
                <w:i w:val="0"/>
                <w:sz w:val="24"/>
              </w:rPr>
              <w:t>HEEoE</w:t>
            </w: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’s Policies and Procedures</w:t>
            </w:r>
          </w:p>
          <w:p w:rsidR="00E530CD" w:rsidRPr="00CA261C" w:rsidRDefault="00E530CD" w:rsidP="00CA261C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Compliance with Trust’s Policies &amp; Procedures</w:t>
            </w:r>
          </w:p>
          <w:p w:rsidR="00E530CD" w:rsidRPr="00CA261C" w:rsidRDefault="00E530CD" w:rsidP="00CA261C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100% attendance rate at induction</w:t>
            </w:r>
          </w:p>
          <w:p w:rsidR="00314629" w:rsidRPr="00CA261C" w:rsidRDefault="00314629" w:rsidP="00CA261C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Compliance to the guidance on education delivery</w:t>
            </w:r>
          </w:p>
          <w:p w:rsidR="00314629" w:rsidRPr="00CA261C" w:rsidRDefault="00314629" w:rsidP="00CA261C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Greater cohesive partnership working across medical education</w:t>
            </w:r>
          </w:p>
          <w:p w:rsidR="0025756A" w:rsidRPr="00CA261C" w:rsidRDefault="00314629" w:rsidP="00CA261C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540" w:hanging="540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Effective relationships with </w:t>
            </w:r>
            <w:r w:rsidR="00E06F10" w:rsidRPr="00CA261C">
              <w:rPr>
                <w:rStyle w:val="Emphasis"/>
                <w:rFonts w:cs="Arial"/>
                <w:i w:val="0"/>
                <w:sz w:val="24"/>
              </w:rPr>
              <w:t>HEEoE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 and its medical educators</w:t>
            </w:r>
          </w:p>
        </w:tc>
      </w:tr>
      <w:tr w:rsidR="007F0F5D" w:rsidRPr="00CA261C" w:rsidTr="009C06A1">
        <w:tc>
          <w:tcPr>
            <w:tcW w:w="1018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666666"/>
          </w:tcPr>
          <w:p w:rsidR="00CA261C" w:rsidRPr="00CA261C" w:rsidRDefault="00CA261C" w:rsidP="00CA261C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color w:val="FFFFFF" w:themeColor="background1"/>
                <w:sz w:val="20"/>
                <w:szCs w:val="20"/>
              </w:rPr>
            </w:pPr>
          </w:p>
          <w:p w:rsidR="007F0F5D" w:rsidRPr="00CA261C" w:rsidRDefault="0019607A" w:rsidP="00CA261C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2</w:t>
            </w:r>
            <w:r w:rsidR="007F0F5D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.  Service Delivery</w:t>
            </w:r>
            <w:r w:rsidR="00F55CE9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 xml:space="preserve"> </w:t>
            </w:r>
          </w:p>
        </w:tc>
      </w:tr>
      <w:tr w:rsidR="007F0F5D" w:rsidRPr="00CA261C" w:rsidTr="009C06A1">
        <w:tc>
          <w:tcPr>
            <w:tcW w:w="101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4629" w:rsidRPr="00CA261C" w:rsidRDefault="00314629" w:rsidP="00F55CE9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Requirements are as follows: </w:t>
            </w:r>
          </w:p>
          <w:p w:rsidR="00314629" w:rsidRPr="00CA261C" w:rsidRDefault="00E530CD" w:rsidP="00F55CE9">
            <w:pPr>
              <w:spacing w:line="360" w:lineRule="auto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Induction administration</w:t>
            </w:r>
          </w:p>
          <w:p w:rsidR="00E530CD" w:rsidRPr="00CA261C" w:rsidRDefault="00E530CD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Timely notification of names and start dates for all trainee to all</w:t>
            </w:r>
            <w:r w:rsidR="00DA46FA" w:rsidRPr="00CA261C">
              <w:rPr>
                <w:rStyle w:val="Emphasis"/>
                <w:i w:val="0"/>
                <w:sz w:val="24"/>
                <w:szCs w:val="24"/>
              </w:rPr>
              <w:t>ow</w:t>
            </w:r>
            <w:r w:rsidRPr="00CA261C">
              <w:rPr>
                <w:rStyle w:val="Emphasis"/>
                <w:i w:val="0"/>
                <w:sz w:val="24"/>
                <w:szCs w:val="24"/>
              </w:rPr>
              <w:t xml:space="preserve"> appropriate induction programmes to be organised</w:t>
            </w:r>
          </w:p>
          <w:p w:rsidR="00E530CD" w:rsidRPr="00CA261C" w:rsidRDefault="00E530CD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Appropriate induction programme(s) organised through the Medical Education Department</w:t>
            </w:r>
          </w:p>
          <w:p w:rsidR="00E530CD" w:rsidRPr="00CA261C" w:rsidRDefault="00E530CD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Monitoring of attendance and chasing of non-compliers</w:t>
            </w:r>
          </w:p>
          <w:p w:rsidR="00F256D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The LEP shall have a named individual responsible for trust (corporate) induction (usually the DME)</w:t>
            </w:r>
          </w:p>
          <w:p w:rsidR="00CA261C" w:rsidRPr="00CA261C" w:rsidRDefault="00CA261C" w:rsidP="00CA261C">
            <w:pPr>
              <w:pStyle w:val="ListParagraph"/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</w:p>
          <w:p w:rsidR="00F256DC" w:rsidRPr="00CA261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lastRenderedPageBreak/>
              <w:t>The LET shall have a named individual in each department (usually the Clinical Director) who is responsible for departmental (local) induction</w:t>
            </w:r>
          </w:p>
          <w:p w:rsidR="00F256DC" w:rsidRPr="00CA261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Delivery of induction may be delegated</w:t>
            </w:r>
          </w:p>
          <w:p w:rsidR="00F256DC" w:rsidRPr="00CA261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Induction may be by a variety of modalities (face to face, e-learning)</w:t>
            </w:r>
          </w:p>
          <w:p w:rsidR="00F256DC" w:rsidRPr="00CA261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The LEP shall have a robust mechanism of recording attendance at both trust and departmental action</w:t>
            </w:r>
          </w:p>
          <w:p w:rsidR="00F256DC" w:rsidRPr="00CA261C" w:rsidRDefault="00F256DC" w:rsidP="00F256DC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The LEP shall have and adhere to a policy for dealing with non-attenders</w:t>
            </w:r>
          </w:p>
          <w:p w:rsidR="00F256DC" w:rsidRPr="00CA261C" w:rsidRDefault="00F256DC" w:rsidP="006C54DC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The Gold Guide outlines the areas that should be co</w:t>
            </w:r>
            <w:r w:rsidR="009C06A1">
              <w:rPr>
                <w:rStyle w:val="Emphasis"/>
                <w:i w:val="0"/>
                <w:sz w:val="24"/>
                <w:szCs w:val="24"/>
              </w:rPr>
              <w:t xml:space="preserve">vered in departmental induction, and an example of a checklist for departmental induction is provided as </w:t>
            </w:r>
            <w:r w:rsidR="009C06A1" w:rsidRPr="006C54DC">
              <w:rPr>
                <w:rStyle w:val="Emphasis"/>
                <w:b/>
                <w:i w:val="0"/>
                <w:sz w:val="24"/>
                <w:szCs w:val="24"/>
              </w:rPr>
              <w:t>Appendix 1</w:t>
            </w:r>
            <w:r w:rsidR="006C54DC" w:rsidRPr="006C54DC">
              <w:rPr>
                <w:rStyle w:val="Emphasis"/>
                <w:b/>
                <w:i w:val="0"/>
                <w:sz w:val="24"/>
                <w:szCs w:val="24"/>
              </w:rPr>
              <w:t>.</w:t>
            </w:r>
            <w:r w:rsidR="009C06A1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Pr="00CA261C">
              <w:rPr>
                <w:rStyle w:val="Emphasis"/>
                <w:i w:val="0"/>
                <w:sz w:val="24"/>
                <w:szCs w:val="24"/>
              </w:rPr>
              <w:t>(this list is not exhaustive and particular departments are likely to have individual requirements</w:t>
            </w:r>
            <w:r w:rsidR="00B97D50" w:rsidRPr="00CA261C">
              <w:rPr>
                <w:rStyle w:val="Emphasis"/>
                <w:i w:val="0"/>
                <w:sz w:val="24"/>
                <w:szCs w:val="24"/>
              </w:rPr>
              <w:t>)</w:t>
            </w:r>
            <w:r w:rsidRPr="00CA261C">
              <w:rPr>
                <w:rStyle w:val="Emphasis"/>
                <w:i w:val="0"/>
                <w:sz w:val="24"/>
                <w:szCs w:val="24"/>
              </w:rPr>
              <w:t>: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introduction to key team members and their roles,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clarity about any of the geographic areas where a trainee might need to work,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a working understanding of the equipment which might be required (especially in an emergency situation),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access to and requirements for the use of protocols and guidance documents,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supervision arrangements,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out-of-hours arrangements, </w:t>
            </w:r>
          </w:p>
          <w:p w:rsidR="00F256DC" w:rsidRPr="00CA261C" w:rsidRDefault="00F256DC" w:rsidP="00422264">
            <w:pPr>
              <w:pStyle w:val="Default"/>
              <w:numPr>
                <w:ilvl w:val="2"/>
                <w:numId w:val="59"/>
              </w:numPr>
              <w:spacing w:line="276" w:lineRule="auto"/>
              <w:ind w:left="1276" w:hanging="283"/>
              <w:rPr>
                <w:rStyle w:val="Emphasis"/>
                <w:rFonts w:ascii="Arial" w:hAnsi="Arial" w:cs="Arial"/>
                <w:i w:val="0"/>
              </w:rPr>
            </w:pPr>
            <w:r w:rsidRPr="00CA261C">
              <w:rPr>
                <w:rStyle w:val="Emphasis"/>
                <w:rFonts w:ascii="Arial" w:hAnsi="Arial" w:cs="Arial"/>
                <w:i w:val="0"/>
              </w:rPr>
              <w:t xml:space="preserve">clearly defined supervisory arrangements, including an identified educational supervisor and sufficient and appropriate clinical supervision for every trainee </w:t>
            </w:r>
          </w:p>
          <w:p w:rsidR="00422264" w:rsidRDefault="00422264" w:rsidP="00F55CE9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  <w:p w:rsidR="00E530CD" w:rsidRPr="00CA261C" w:rsidRDefault="00E530CD" w:rsidP="00F55CE9">
            <w:pPr>
              <w:spacing w:line="360" w:lineRule="auto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Departmental induction</w:t>
            </w:r>
          </w:p>
          <w:p w:rsidR="00E530CD" w:rsidRPr="00CA261C" w:rsidRDefault="00E530CD" w:rsidP="009C06A1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Provision of departmental induction to all train</w:t>
            </w:r>
            <w:r w:rsidR="00DA46FA" w:rsidRPr="00CA261C">
              <w:rPr>
                <w:rStyle w:val="Emphasis"/>
                <w:i w:val="0"/>
                <w:sz w:val="24"/>
                <w:szCs w:val="24"/>
              </w:rPr>
              <w:t>ees on starting in a new departm</w:t>
            </w:r>
            <w:r w:rsidRPr="00CA261C">
              <w:rPr>
                <w:rStyle w:val="Emphasis"/>
                <w:i w:val="0"/>
                <w:sz w:val="24"/>
                <w:szCs w:val="24"/>
              </w:rPr>
              <w:t>ent/specialty</w:t>
            </w:r>
            <w:r w:rsidR="009C06A1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  <w:p w:rsidR="00E530CD" w:rsidRPr="00CA261C" w:rsidRDefault="00E530CD" w:rsidP="009C06A1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Monitoring of attendance and chasing of non-compliers</w:t>
            </w:r>
          </w:p>
          <w:p w:rsidR="00E530CD" w:rsidRPr="00CA261C" w:rsidRDefault="00E530CD" w:rsidP="009C06A1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Style w:val="Emphasis"/>
                <w:i w:val="0"/>
                <w:sz w:val="24"/>
                <w:szCs w:val="24"/>
              </w:rPr>
            </w:pPr>
            <w:r w:rsidRPr="00CA261C">
              <w:rPr>
                <w:rStyle w:val="Emphasis"/>
                <w:i w:val="0"/>
                <w:sz w:val="24"/>
                <w:szCs w:val="24"/>
              </w:rPr>
              <w:t>Return of information on programme content and attendance to Medical Education Department</w:t>
            </w:r>
            <w:r w:rsidR="009C06A1">
              <w:rPr>
                <w:rStyle w:val="Emphasis"/>
                <w:i w:val="0"/>
                <w:sz w:val="24"/>
                <w:szCs w:val="24"/>
              </w:rPr>
              <w:t xml:space="preserve"> (See </w:t>
            </w:r>
            <w:r w:rsidR="009C06A1" w:rsidRPr="006C54DC">
              <w:rPr>
                <w:rStyle w:val="Emphasis"/>
                <w:b/>
                <w:i w:val="0"/>
                <w:sz w:val="24"/>
                <w:szCs w:val="24"/>
              </w:rPr>
              <w:t>Appendix 1</w:t>
            </w:r>
            <w:r w:rsidR="009C06A1">
              <w:rPr>
                <w:rStyle w:val="Emphasis"/>
                <w:i w:val="0"/>
                <w:sz w:val="24"/>
                <w:szCs w:val="24"/>
              </w:rPr>
              <w:t xml:space="preserve"> for sample checklist for quality control of departmental induction) </w:t>
            </w:r>
          </w:p>
          <w:p w:rsidR="00F64DDF" w:rsidRPr="00CA261C" w:rsidRDefault="00E530CD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e</w:t>
            </w:r>
            <w:r w:rsidR="00422264">
              <w:rPr>
                <w:rStyle w:val="Emphasis"/>
                <w:rFonts w:cs="Arial"/>
                <w:i w:val="0"/>
                <w:sz w:val="24"/>
              </w:rPr>
              <w:t>-i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nduction</w:t>
            </w:r>
          </w:p>
          <w:p w:rsidR="00E530CD" w:rsidRPr="00CA261C" w:rsidRDefault="00E530CD" w:rsidP="00F55CE9">
            <w:pPr>
              <w:pStyle w:val="BodyText"/>
              <w:numPr>
                <w:ilvl w:val="0"/>
                <w:numId w:val="57"/>
              </w:numPr>
              <w:spacing w:line="360" w:lineRule="auto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Depends on HEEoE/Trust agreed approach – work in progress </w:t>
            </w:r>
          </w:p>
          <w:p w:rsidR="00E530CD" w:rsidRPr="00CA261C" w:rsidRDefault="00E530CD" w:rsidP="00FC2C62">
            <w:pPr>
              <w:pStyle w:val="BodyText"/>
              <w:numPr>
                <w:ilvl w:val="0"/>
                <w:numId w:val="57"/>
              </w:numPr>
              <w:spacing w:line="276" w:lineRule="auto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Needs agreement on </w:t>
            </w:r>
          </w:p>
          <w:p w:rsidR="00E530CD" w:rsidRPr="00CA261C" w:rsidRDefault="00E530CD" w:rsidP="00FC2C62">
            <w:pPr>
              <w:pStyle w:val="BodyText"/>
              <w:numPr>
                <w:ilvl w:val="1"/>
                <w:numId w:val="57"/>
              </w:numPr>
              <w:spacing w:line="276" w:lineRule="auto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Content</w:t>
            </w:r>
          </w:p>
          <w:p w:rsidR="00E530CD" w:rsidRPr="00CA261C" w:rsidRDefault="00E530CD" w:rsidP="00FC2C62">
            <w:pPr>
              <w:pStyle w:val="BodyText"/>
              <w:numPr>
                <w:ilvl w:val="1"/>
                <w:numId w:val="57"/>
              </w:numPr>
              <w:spacing w:line="276" w:lineRule="auto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Format</w:t>
            </w:r>
          </w:p>
          <w:p w:rsidR="00E530CD" w:rsidRPr="00CA261C" w:rsidRDefault="00E530CD" w:rsidP="00FC2C62">
            <w:pPr>
              <w:pStyle w:val="BodyText"/>
              <w:numPr>
                <w:ilvl w:val="1"/>
                <w:numId w:val="57"/>
              </w:numPr>
              <w:spacing w:line="276" w:lineRule="auto"/>
              <w:jc w:val="both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Timing (and if time off in lieu for completion prior to starting new job)</w:t>
            </w:r>
          </w:p>
          <w:p w:rsidR="00B97D50" w:rsidRPr="009C06A1" w:rsidRDefault="00E530CD" w:rsidP="009C06A1">
            <w:pPr>
              <w:pStyle w:val="BodyText"/>
              <w:numPr>
                <w:ilvl w:val="1"/>
                <w:numId w:val="57"/>
              </w:numPr>
              <w:spacing w:line="276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Transfer of information</w:t>
            </w:r>
          </w:p>
        </w:tc>
      </w:tr>
      <w:tr w:rsidR="007F0F5D" w:rsidRPr="00CA261C" w:rsidTr="009C06A1">
        <w:tc>
          <w:tcPr>
            <w:tcW w:w="1018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666666"/>
          </w:tcPr>
          <w:p w:rsidR="007F0F5D" w:rsidRPr="00CA261C" w:rsidRDefault="007F0F5D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</w:p>
          <w:p w:rsidR="007F0F5D" w:rsidRPr="00CA261C" w:rsidRDefault="0019607A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lastRenderedPageBreak/>
              <w:t>3</w:t>
            </w:r>
            <w:r w:rsidR="007F0F5D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.  Quality and Performance Standards</w:t>
            </w:r>
            <w:r w:rsidR="000E47AD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 xml:space="preserve"> </w:t>
            </w:r>
          </w:p>
          <w:p w:rsidR="007F0F5D" w:rsidRPr="00CA261C" w:rsidRDefault="007F0F5D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7F0F5D" w:rsidRPr="00CA261C" w:rsidTr="009C06A1">
        <w:trPr>
          <w:trHeight w:val="3569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tbl>
            <w:tblPr>
              <w:tblpPr w:leftFromText="180" w:rightFromText="180" w:vertAnchor="page" w:horzAnchor="margin" w:tblpX="-147" w:tblpY="1"/>
              <w:tblOverlap w:val="never"/>
              <w:tblW w:w="1017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171"/>
            </w:tblGrid>
            <w:tr w:rsidR="009C06A1" w:rsidRPr="00CA261C" w:rsidTr="009C06A1">
              <w:trPr>
                <w:trHeight w:val="382"/>
              </w:trPr>
              <w:tc>
                <w:tcPr>
                  <w:tcW w:w="10171" w:type="dxa"/>
                  <w:tcBorders>
                    <w:bottom w:val="single" w:sz="4" w:space="0" w:color="C0C0C0"/>
                  </w:tcBorders>
                  <w:vAlign w:val="center"/>
                </w:tcPr>
                <w:p w:rsidR="009C06A1" w:rsidRPr="00CA261C" w:rsidRDefault="009C06A1" w:rsidP="009C06A1">
                  <w:pPr>
                    <w:pStyle w:val="BodyText"/>
                    <w:spacing w:line="360" w:lineRule="auto"/>
                    <w:jc w:val="left"/>
                    <w:rPr>
                      <w:rStyle w:val="Emphasis"/>
                      <w:rFonts w:cs="Arial"/>
                      <w:i w:val="0"/>
                      <w:sz w:val="24"/>
                    </w:rPr>
                  </w:pPr>
                  <w:r w:rsidRPr="00CA261C">
                    <w:rPr>
                      <w:rStyle w:val="Emphasis"/>
                      <w:rFonts w:cs="Arial"/>
                      <w:i w:val="0"/>
                      <w:sz w:val="24"/>
                    </w:rPr>
                    <w:lastRenderedPageBreak/>
                    <w:t xml:space="preserve">Key Performance Indicator (KPI) </w:t>
                  </w:r>
                </w:p>
              </w:tc>
            </w:tr>
            <w:tr w:rsidR="009C06A1" w:rsidRPr="00CA261C" w:rsidTr="009C06A1">
              <w:trPr>
                <w:trHeight w:val="1171"/>
              </w:trPr>
              <w:tc>
                <w:tcPr>
                  <w:tcW w:w="10171" w:type="dxa"/>
                  <w:tcBorders>
                    <w:bottom w:val="nil"/>
                  </w:tcBorders>
                </w:tcPr>
                <w:p w:rsidR="009C06A1" w:rsidRPr="00CA261C" w:rsidRDefault="009C06A1" w:rsidP="009C06A1">
                  <w:pPr>
                    <w:pStyle w:val="BodyText"/>
                    <w:spacing w:line="360" w:lineRule="auto"/>
                    <w:jc w:val="left"/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</w:pP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 xml:space="preserve">100% attendance rate at appropriate Trust induction programme for all new trainees.   If not possible on start date, this should be at the first available opportunity </w:t>
                  </w:r>
                  <w:r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and should take place within two weeks</w:t>
                  </w: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 xml:space="preserve"> of starting</w:t>
                  </w:r>
                </w:p>
              </w:tc>
            </w:tr>
            <w:tr w:rsidR="009C06A1" w:rsidRPr="00CA261C" w:rsidTr="009C06A1">
              <w:trPr>
                <w:trHeight w:val="382"/>
              </w:trPr>
              <w:tc>
                <w:tcPr>
                  <w:tcW w:w="101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9C06A1" w:rsidRPr="00CA261C" w:rsidRDefault="009C06A1" w:rsidP="009C06A1">
                  <w:pPr>
                    <w:pStyle w:val="BodyText"/>
                    <w:spacing w:line="360" w:lineRule="auto"/>
                    <w:jc w:val="left"/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</w:pP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100% attendance rate at appropriate Departmental/Specialty induction programme</w:t>
                  </w:r>
                </w:p>
              </w:tc>
            </w:tr>
            <w:tr w:rsidR="009C06A1" w:rsidRPr="00CA261C" w:rsidTr="009C06A1">
              <w:trPr>
                <w:trHeight w:val="382"/>
              </w:trPr>
              <w:tc>
                <w:tcPr>
                  <w:tcW w:w="10171" w:type="dxa"/>
                  <w:tcBorders>
                    <w:top w:val="nil"/>
                    <w:bottom w:val="nil"/>
                  </w:tcBorders>
                </w:tcPr>
                <w:p w:rsidR="009C06A1" w:rsidRPr="00CA261C" w:rsidRDefault="009C06A1" w:rsidP="009C06A1">
                  <w:pPr>
                    <w:pStyle w:val="BodyText"/>
                    <w:spacing w:line="360" w:lineRule="auto"/>
                    <w:jc w:val="left"/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</w:pP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Reasons for non-attendance recorded by Medical Education Department</w:t>
                  </w:r>
                </w:p>
              </w:tc>
            </w:tr>
            <w:tr w:rsidR="009C06A1" w:rsidRPr="00CA261C" w:rsidTr="009C06A1">
              <w:trPr>
                <w:trHeight w:val="286"/>
              </w:trPr>
              <w:tc>
                <w:tcPr>
                  <w:tcW w:w="10171" w:type="dxa"/>
                  <w:tcBorders>
                    <w:top w:val="nil"/>
                  </w:tcBorders>
                </w:tcPr>
                <w:p w:rsidR="009C06A1" w:rsidRPr="00CA261C" w:rsidRDefault="009C06A1" w:rsidP="009C06A1">
                  <w:pPr>
                    <w:pStyle w:val="BodyText"/>
                    <w:spacing w:line="360" w:lineRule="auto"/>
                    <w:jc w:val="left"/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</w:pP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e</w:t>
                  </w:r>
                  <w:r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-i</w:t>
                  </w: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 xml:space="preserve">nduction </w:t>
                  </w:r>
                  <w:r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 xml:space="preserve">/ skills passport </w:t>
                  </w:r>
                  <w:r w:rsidRPr="00CA261C">
                    <w:rPr>
                      <w:rStyle w:val="Emphasis"/>
                      <w:rFonts w:cs="Arial"/>
                      <w:b w:val="0"/>
                      <w:i w:val="0"/>
                      <w:sz w:val="24"/>
                    </w:rPr>
                    <w:t>KPI still to be discussed and agreed</w:t>
                  </w:r>
                </w:p>
              </w:tc>
            </w:tr>
          </w:tbl>
          <w:p w:rsidR="007F0F5D" w:rsidRPr="00CA261C" w:rsidRDefault="007F0F5D" w:rsidP="00F55CE9">
            <w:pPr>
              <w:pStyle w:val="BodyText"/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611AD9" w:rsidRPr="00CA261C" w:rsidTr="00FB0784">
        <w:trPr>
          <w:trHeight w:val="545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666666"/>
            <w:vAlign w:val="center"/>
          </w:tcPr>
          <w:p w:rsidR="00F57537" w:rsidRPr="00CA261C" w:rsidRDefault="00770655" w:rsidP="00FB0784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4</w:t>
            </w:r>
            <w:r w:rsidR="00F57537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.  Activity</w:t>
            </w:r>
            <w:r w:rsidR="000E47AD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 xml:space="preserve"> </w:t>
            </w:r>
          </w:p>
        </w:tc>
      </w:tr>
      <w:tr w:rsidR="00611AD9" w:rsidRPr="00CA261C" w:rsidTr="009C06A1">
        <w:trPr>
          <w:trHeight w:val="70"/>
        </w:trPr>
        <w:tc>
          <w:tcPr>
            <w:tcW w:w="101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1AD9" w:rsidRPr="00CA261C" w:rsidRDefault="00611AD9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Performance Management Requirements</w:t>
            </w:r>
            <w:r w:rsidR="00F55CE9" w:rsidRPr="00CA261C">
              <w:rPr>
                <w:rStyle w:val="Emphasis"/>
                <w:rFonts w:cs="Arial"/>
                <w:i w:val="0"/>
                <w:sz w:val="24"/>
              </w:rPr>
              <w:t xml:space="preserve"> </w:t>
            </w:r>
          </w:p>
          <w:p w:rsidR="00611AD9" w:rsidRPr="00CA261C" w:rsidRDefault="00611AD9" w:rsidP="00F55CE9">
            <w:pPr>
              <w:spacing w:line="360" w:lineRule="auto"/>
              <w:jc w:val="both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Providers to ensure that relevant systems are in place to enable data to be provided to </w:t>
            </w:r>
            <w:r w:rsidR="00770655" w:rsidRPr="00CA261C">
              <w:rPr>
                <w:rStyle w:val="Emphasis"/>
                <w:rFonts w:cs="Arial"/>
                <w:i w:val="0"/>
                <w:sz w:val="24"/>
              </w:rPr>
              <w:t>HEEoE</w:t>
            </w:r>
            <w:r w:rsidR="00FF74C6" w:rsidRPr="00CA261C">
              <w:rPr>
                <w:rStyle w:val="Emphasis"/>
                <w:rFonts w:cs="Arial"/>
                <w:i w:val="0"/>
                <w:sz w:val="24"/>
              </w:rPr>
              <w:t xml:space="preserve"> on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 a </w:t>
            </w:r>
            <w:r w:rsidR="00DD22C1" w:rsidRPr="00CA261C">
              <w:rPr>
                <w:rStyle w:val="Emphasis"/>
                <w:rFonts w:cs="Arial"/>
                <w:i w:val="0"/>
                <w:sz w:val="24"/>
              </w:rPr>
              <w:t xml:space="preserve">regular 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basis</w:t>
            </w:r>
            <w:r w:rsidR="00DD22C1" w:rsidRPr="00CA261C">
              <w:rPr>
                <w:rStyle w:val="Emphasis"/>
                <w:rFonts w:cs="Arial"/>
                <w:i w:val="0"/>
                <w:sz w:val="24"/>
              </w:rPr>
              <w:t>, as outlined below:</w:t>
            </w:r>
          </w:p>
          <w:p w:rsidR="0091574D" w:rsidRPr="00CA261C" w:rsidRDefault="005F08BC" w:rsidP="00F55CE9">
            <w:pPr>
              <w:pStyle w:val="BodyText"/>
              <w:spacing w:line="360" w:lineRule="auto"/>
              <w:ind w:left="720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Full attendance registers available</w:t>
            </w:r>
          </w:p>
          <w:p w:rsidR="005F08BC" w:rsidRPr="00CA261C" w:rsidRDefault="005F08BC" w:rsidP="00F55CE9">
            <w:pPr>
              <w:pStyle w:val="BodyText"/>
              <w:spacing w:line="360" w:lineRule="auto"/>
              <w:ind w:left="720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Full induction programmes available, including departmental induction programmes</w:t>
            </w:r>
          </w:p>
          <w:p w:rsidR="0082792C" w:rsidRPr="00CA261C" w:rsidRDefault="005F08BC" w:rsidP="00F55CE9">
            <w:pPr>
              <w:pStyle w:val="BodyText"/>
              <w:spacing w:line="360" w:lineRule="auto"/>
              <w:ind w:left="720"/>
              <w:jc w:val="left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Identification of reasons for non-attendance at initial induction date</w:t>
            </w:r>
          </w:p>
        </w:tc>
      </w:tr>
      <w:tr w:rsidR="00C509FA" w:rsidRPr="00CA261C" w:rsidTr="00FB0784">
        <w:trPr>
          <w:trHeight w:val="641"/>
        </w:trPr>
        <w:tc>
          <w:tcPr>
            <w:tcW w:w="10188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shd w:val="clear" w:color="auto" w:fill="666666"/>
            <w:vAlign w:val="center"/>
          </w:tcPr>
          <w:p w:rsidR="00C509FA" w:rsidRPr="00FB0784" w:rsidRDefault="00770655" w:rsidP="00FB0784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</w:pPr>
            <w:bookmarkStart w:id="1" w:name="_DV_M911"/>
            <w:bookmarkStart w:id="2" w:name="_DV_M912"/>
            <w:bookmarkStart w:id="3" w:name="_DV_M913"/>
            <w:bookmarkStart w:id="4" w:name="_DV_M914"/>
            <w:bookmarkEnd w:id="1"/>
            <w:bookmarkEnd w:id="2"/>
            <w:bookmarkEnd w:id="3"/>
            <w:bookmarkEnd w:id="4"/>
            <w:r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5</w:t>
            </w:r>
            <w:r w:rsidR="00C509FA" w:rsidRPr="00CA261C">
              <w:rPr>
                <w:rStyle w:val="Emphasis"/>
                <w:rFonts w:cs="Arial"/>
                <w:i w:val="0"/>
                <w:color w:val="FFFFFF" w:themeColor="background1"/>
                <w:sz w:val="24"/>
              </w:rPr>
              <w:t>.  Reviews</w:t>
            </w:r>
          </w:p>
        </w:tc>
      </w:tr>
      <w:tr w:rsidR="00770655" w:rsidRPr="00CA261C" w:rsidTr="009C06A1">
        <w:trPr>
          <w:trHeight w:val="520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Review Type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Frequency </w:t>
            </w:r>
          </w:p>
        </w:tc>
      </w:tr>
      <w:tr w:rsidR="00770655" w:rsidRPr="00CA261C" w:rsidTr="009C06A1">
        <w:trPr>
          <w:trHeight w:val="517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LDA 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Annual Review</w:t>
            </w:r>
          </w:p>
        </w:tc>
      </w:tr>
      <w:tr w:rsidR="00770655" w:rsidRPr="00CA261C" w:rsidTr="009C06A1">
        <w:trPr>
          <w:trHeight w:val="517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 xml:space="preserve">Quality Monitoring Visits 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655" w:rsidRPr="00CA261C" w:rsidRDefault="00770655" w:rsidP="00F55CE9">
            <w:pPr>
              <w:pStyle w:val="BodyText"/>
              <w:spacing w:line="360" w:lineRule="auto"/>
              <w:jc w:val="lef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 w:val="0"/>
                <w:i w:val="0"/>
                <w:sz w:val="24"/>
              </w:rPr>
              <w:t>Trust and School Visits (Various)</w:t>
            </w:r>
          </w:p>
        </w:tc>
      </w:tr>
    </w:tbl>
    <w:p w:rsidR="009222DB" w:rsidRDefault="009222DB" w:rsidP="00E530CD">
      <w:pPr>
        <w:spacing w:line="360" w:lineRule="auto"/>
        <w:rPr>
          <w:rStyle w:val="Emphasis"/>
          <w:rFonts w:cs="Arial"/>
          <w:i w:val="0"/>
          <w:sz w:val="24"/>
        </w:rPr>
      </w:pPr>
    </w:p>
    <w:p w:rsidR="00CA261C" w:rsidRPr="00CA261C" w:rsidRDefault="00CA261C" w:rsidP="00E530CD">
      <w:pPr>
        <w:spacing w:line="360" w:lineRule="auto"/>
        <w:rPr>
          <w:rStyle w:val="Emphasis"/>
          <w:rFonts w:cs="Arial"/>
          <w:i w:val="0"/>
          <w:sz w:val="24"/>
        </w:rPr>
      </w:pPr>
    </w:p>
    <w:p w:rsidR="009222DB" w:rsidRDefault="009222DB" w:rsidP="00E530CD">
      <w:pPr>
        <w:spacing w:line="360" w:lineRule="auto"/>
        <w:rPr>
          <w:rStyle w:val="Emphasis"/>
          <w:rFonts w:cs="Arial"/>
          <w:i w:val="0"/>
          <w:sz w:val="24"/>
        </w:rPr>
      </w:pPr>
    </w:p>
    <w:p w:rsidR="009C06A1" w:rsidRDefault="009C06A1" w:rsidP="00CA261C">
      <w:pPr>
        <w:jc w:val="center"/>
        <w:rPr>
          <w:rStyle w:val="Emphasis"/>
          <w:rFonts w:cs="Arial"/>
          <w:b/>
          <w:i w:val="0"/>
          <w:sz w:val="24"/>
        </w:rPr>
      </w:pPr>
    </w:p>
    <w:p w:rsidR="006C54DC" w:rsidRDefault="006C54DC">
      <w:pPr>
        <w:rPr>
          <w:rStyle w:val="Emphasis"/>
          <w:rFonts w:cs="Arial"/>
          <w:b/>
          <w:i w:val="0"/>
          <w:sz w:val="24"/>
        </w:rPr>
      </w:pPr>
      <w:r>
        <w:rPr>
          <w:rStyle w:val="Emphasis"/>
          <w:rFonts w:cs="Arial"/>
          <w:b/>
          <w:i w:val="0"/>
          <w:sz w:val="24"/>
        </w:rPr>
        <w:br w:type="page"/>
      </w:r>
    </w:p>
    <w:p w:rsidR="009C06A1" w:rsidRDefault="006C54DC" w:rsidP="009C06A1">
      <w:pPr>
        <w:rPr>
          <w:rStyle w:val="Emphasis"/>
          <w:rFonts w:cs="Arial"/>
          <w:b/>
          <w:i w:val="0"/>
          <w:sz w:val="24"/>
        </w:rPr>
      </w:pPr>
      <w:r>
        <w:rPr>
          <w:rStyle w:val="Emphasis"/>
          <w:rFonts w:cs="Arial"/>
          <w:b/>
          <w:i w:val="0"/>
          <w:sz w:val="24"/>
        </w:rPr>
        <w:lastRenderedPageBreak/>
        <w:t xml:space="preserve">APPENDIX </w:t>
      </w:r>
      <w:r w:rsidR="009C06A1">
        <w:rPr>
          <w:rStyle w:val="Emphasis"/>
          <w:rFonts w:cs="Arial"/>
          <w:b/>
          <w:i w:val="0"/>
          <w:sz w:val="24"/>
        </w:rPr>
        <w:t>1</w:t>
      </w:r>
    </w:p>
    <w:p w:rsidR="009222DB" w:rsidRDefault="009C06A1" w:rsidP="00CA261C">
      <w:pPr>
        <w:jc w:val="center"/>
        <w:rPr>
          <w:rStyle w:val="Emphasis"/>
          <w:rFonts w:cs="Arial"/>
          <w:b/>
          <w:i w:val="0"/>
          <w:sz w:val="24"/>
        </w:rPr>
      </w:pPr>
      <w:r>
        <w:rPr>
          <w:rStyle w:val="Emphasis"/>
          <w:rFonts w:cs="Arial"/>
          <w:b/>
          <w:i w:val="0"/>
          <w:sz w:val="24"/>
        </w:rPr>
        <w:t xml:space="preserve">DEPARTMENTAL INDUCTION </w:t>
      </w:r>
      <w:r w:rsidR="009222DB" w:rsidRPr="00CA261C">
        <w:rPr>
          <w:rStyle w:val="Emphasis"/>
          <w:rFonts w:cs="Arial"/>
          <w:b/>
          <w:i w:val="0"/>
          <w:sz w:val="24"/>
        </w:rPr>
        <w:t xml:space="preserve">CHECKLIST </w:t>
      </w:r>
    </w:p>
    <w:p w:rsidR="009C06A1" w:rsidRDefault="009C06A1" w:rsidP="009C06A1">
      <w:pPr>
        <w:rPr>
          <w:rStyle w:val="Emphasis"/>
          <w:rFonts w:cs="Arial"/>
          <w:b/>
          <w:i w:val="0"/>
          <w:sz w:val="24"/>
        </w:rPr>
      </w:pPr>
    </w:p>
    <w:p w:rsidR="009C06A1" w:rsidRPr="00CA261C" w:rsidRDefault="009C06A1" w:rsidP="009C06A1">
      <w:pPr>
        <w:rPr>
          <w:rStyle w:val="Emphasis"/>
          <w:rFonts w:cs="Arial"/>
          <w:b/>
          <w:i w:val="0"/>
          <w:sz w:val="24"/>
        </w:rPr>
      </w:pPr>
      <w:r>
        <w:rPr>
          <w:rStyle w:val="Emphasis"/>
          <w:rFonts w:cs="Arial"/>
          <w:b/>
          <w:i w:val="0"/>
          <w:sz w:val="24"/>
        </w:rPr>
        <w:t>Department:</w:t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</w:r>
      <w:r>
        <w:rPr>
          <w:rStyle w:val="Emphasis"/>
          <w:rFonts w:cs="Arial"/>
          <w:b/>
          <w:i w:val="0"/>
          <w:sz w:val="24"/>
        </w:rPr>
        <w:tab/>
        <w:t>Date:</w:t>
      </w:r>
    </w:p>
    <w:p w:rsidR="00CA261C" w:rsidRPr="00CA261C" w:rsidRDefault="00CA261C" w:rsidP="00CA261C">
      <w:pPr>
        <w:rPr>
          <w:rStyle w:val="Emphasis"/>
          <w:rFonts w:cs="Arial"/>
          <w:i w:val="0"/>
          <w:sz w:val="16"/>
          <w:szCs w:val="16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5671"/>
        <w:gridCol w:w="992"/>
        <w:gridCol w:w="992"/>
        <w:gridCol w:w="3261"/>
      </w:tblGrid>
      <w:tr w:rsidR="009222DB" w:rsidRPr="00CA261C" w:rsidTr="00CA261C">
        <w:tc>
          <w:tcPr>
            <w:tcW w:w="10916" w:type="dxa"/>
            <w:gridSpan w:val="4"/>
          </w:tcPr>
          <w:p w:rsidR="009222DB" w:rsidRPr="00CA261C" w:rsidRDefault="009C06A1" w:rsidP="009222DB">
            <w:pPr>
              <w:spacing w:line="360" w:lineRule="auto"/>
              <w:rPr>
                <w:rStyle w:val="Emphasis"/>
                <w:rFonts w:cs="Arial"/>
                <w:b/>
                <w:i w:val="0"/>
                <w:sz w:val="24"/>
              </w:rPr>
            </w:pPr>
            <w:r>
              <w:rPr>
                <w:rStyle w:val="Emphasis"/>
                <w:rFonts w:cs="Arial"/>
                <w:b/>
                <w:i w:val="0"/>
                <w:sz w:val="24"/>
              </w:rPr>
              <w:t>Are</w:t>
            </w:r>
            <w:r w:rsidR="009222DB" w:rsidRPr="00CA261C">
              <w:rPr>
                <w:rStyle w:val="Emphasis"/>
                <w:rFonts w:cs="Arial"/>
                <w:b/>
                <w:i w:val="0"/>
                <w:sz w:val="24"/>
              </w:rPr>
              <w:t xml:space="preserve"> the following areas covered</w:t>
            </w:r>
            <w:r>
              <w:rPr>
                <w:rStyle w:val="Emphasis"/>
                <w:rFonts w:cs="Arial"/>
                <w:b/>
                <w:i w:val="0"/>
                <w:sz w:val="24"/>
              </w:rPr>
              <w:t>?</w:t>
            </w: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jc w:val="center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Item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jc w:val="center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Yes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jc w:val="center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No</w:t>
            </w: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jc w:val="center"/>
              <w:rPr>
                <w:rStyle w:val="Emphasis"/>
                <w:rFonts w:cs="Arial"/>
                <w:b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b/>
                <w:i w:val="0"/>
                <w:sz w:val="24"/>
              </w:rPr>
              <w:t>Comment</w:t>
            </w: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Intro to clinical team (Medical and Nursing)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CA261C" w:rsidRPr="00CA261C" w:rsidRDefault="009222DB" w:rsidP="00CA261C">
            <w:pPr>
              <w:spacing w:after="100" w:afterAutospacing="1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Name(s) of Educational &amp; Clinical Supervisors(s)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Ward/Department layout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Weekly (periodic) work timetable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Work hours (as per WTD requirements)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770688" w:rsidP="00770688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Entitlement to n</w:t>
            </w:r>
            <w:r w:rsidR="009222DB" w:rsidRPr="00CA261C">
              <w:rPr>
                <w:rStyle w:val="Emphasis"/>
                <w:rFonts w:cs="Arial"/>
                <w:i w:val="0"/>
                <w:sz w:val="24"/>
              </w:rPr>
              <w:t xml:space="preserve">atural 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b</w:t>
            </w:r>
            <w:r w:rsidR="009222DB" w:rsidRPr="00CA261C">
              <w:rPr>
                <w:rStyle w:val="Emphasis"/>
                <w:rFonts w:cs="Arial"/>
                <w:i w:val="0"/>
                <w:sz w:val="24"/>
              </w:rPr>
              <w:t>reaks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Regular duties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 xml:space="preserve"> 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of job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Rota arrangements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 xml:space="preserve"> 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/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 xml:space="preserve"> 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house-rules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770688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Name of rota organiser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Safe clinical handover arrangements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Escalation pathway for serious clinical concerns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Location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 xml:space="preserve"> of d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epartmental and Trust guidelines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770688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IT access 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>/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 passwords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Ordering diagnostic tests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Departmental level teaching programme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Departmental audit activities/Rolling 1/2 days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770688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Name of RC Tutor/t</w:t>
            </w:r>
            <w:r w:rsidR="009222DB" w:rsidRPr="00CA261C">
              <w:rPr>
                <w:rStyle w:val="Emphasis"/>
                <w:rFonts w:cs="Arial"/>
                <w:i w:val="0"/>
                <w:sz w:val="24"/>
              </w:rPr>
              <w:t>raining organiser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770688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 xml:space="preserve">How to contact </w:t>
            </w:r>
            <w:r w:rsidR="00770688" w:rsidRPr="00CA261C">
              <w:rPr>
                <w:rStyle w:val="Emphasis"/>
                <w:rFonts w:cs="Arial"/>
                <w:i w:val="0"/>
                <w:sz w:val="24"/>
              </w:rPr>
              <w:t>S</w:t>
            </w:r>
            <w:r w:rsidRPr="00CA261C">
              <w:rPr>
                <w:rStyle w:val="Emphasis"/>
                <w:rFonts w:cs="Arial"/>
                <w:i w:val="0"/>
                <w:sz w:val="24"/>
              </w:rPr>
              <w:t>eniors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Referral policies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Annual / Study Leave Policy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770688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Location</w:t>
            </w:r>
            <w:r w:rsidR="009222DB" w:rsidRPr="00CA261C">
              <w:rPr>
                <w:rStyle w:val="Emphasis"/>
                <w:rFonts w:cs="Arial"/>
                <w:i w:val="0"/>
                <w:sz w:val="24"/>
              </w:rPr>
              <w:t xml:space="preserve"> of patients’ notes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Confidentiality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770688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Consenting</w:t>
            </w:r>
            <w:r w:rsidR="009222DB" w:rsidRPr="00CA261C">
              <w:rPr>
                <w:rStyle w:val="Emphasis"/>
                <w:rFonts w:cs="Arial"/>
                <w:i w:val="0"/>
                <w:sz w:val="24"/>
              </w:rPr>
              <w:t xml:space="preserve"> patients for procedures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  <w:tr w:rsidR="009222DB" w:rsidRPr="00CA261C" w:rsidTr="00CA261C">
        <w:tc>
          <w:tcPr>
            <w:tcW w:w="567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  <w:r w:rsidRPr="00CA261C">
              <w:rPr>
                <w:rStyle w:val="Emphasis"/>
                <w:rFonts w:cs="Arial"/>
                <w:i w:val="0"/>
                <w:sz w:val="24"/>
              </w:rPr>
              <w:t>Patient Discharge Policy</w:t>
            </w: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992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  <w:tc>
          <w:tcPr>
            <w:tcW w:w="3261" w:type="dxa"/>
          </w:tcPr>
          <w:p w:rsidR="009222DB" w:rsidRPr="00CA261C" w:rsidRDefault="009222DB" w:rsidP="009222DB">
            <w:pPr>
              <w:spacing w:line="360" w:lineRule="auto"/>
              <w:rPr>
                <w:rStyle w:val="Emphasis"/>
                <w:rFonts w:cs="Arial"/>
                <w:i w:val="0"/>
                <w:sz w:val="24"/>
              </w:rPr>
            </w:pPr>
          </w:p>
        </w:tc>
      </w:tr>
    </w:tbl>
    <w:p w:rsidR="009C06A1" w:rsidRDefault="009C06A1" w:rsidP="00CA261C">
      <w:pPr>
        <w:rPr>
          <w:rStyle w:val="Emphasis"/>
          <w:rFonts w:cs="Arial"/>
          <w:i w:val="0"/>
          <w:sz w:val="24"/>
        </w:rPr>
      </w:pPr>
    </w:p>
    <w:sectPr w:rsidR="009C06A1" w:rsidSect="00F5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44" w:rsidRDefault="007C3F44">
      <w:r>
        <w:separator/>
      </w:r>
    </w:p>
  </w:endnote>
  <w:endnote w:type="continuationSeparator" w:id="0">
    <w:p w:rsidR="007C3F44" w:rsidRDefault="007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97" w:rsidRDefault="00484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DB" w:rsidRPr="0082792C" w:rsidRDefault="009222DB">
    <w:pPr>
      <w:pStyle w:val="Footer"/>
      <w:jc w:val="center"/>
      <w:rPr>
        <w:rFonts w:asciiTheme="minorHAnsi" w:hAnsiTheme="minorHAnsi"/>
        <w:sz w:val="20"/>
      </w:rPr>
    </w:pPr>
    <w:r w:rsidRPr="0082792C">
      <w:rPr>
        <w:rFonts w:asciiTheme="minorHAnsi" w:hAnsiTheme="minorHAnsi"/>
        <w:sz w:val="20"/>
      </w:rPr>
      <w:t xml:space="preserve">Page </w:t>
    </w:r>
    <w:r w:rsidR="00E30E5C" w:rsidRPr="0082792C">
      <w:rPr>
        <w:rStyle w:val="PageNumber"/>
        <w:rFonts w:asciiTheme="minorHAnsi" w:hAnsiTheme="minorHAnsi"/>
        <w:sz w:val="20"/>
      </w:rPr>
      <w:fldChar w:fldCharType="begin"/>
    </w:r>
    <w:r w:rsidRPr="0082792C">
      <w:rPr>
        <w:rStyle w:val="PageNumber"/>
        <w:rFonts w:asciiTheme="minorHAnsi" w:hAnsiTheme="minorHAnsi"/>
        <w:sz w:val="20"/>
      </w:rPr>
      <w:instrText xml:space="preserve"> PAGE </w:instrText>
    </w:r>
    <w:r w:rsidR="00E30E5C" w:rsidRPr="0082792C">
      <w:rPr>
        <w:rStyle w:val="PageNumber"/>
        <w:rFonts w:asciiTheme="minorHAnsi" w:hAnsiTheme="minorHAnsi"/>
        <w:sz w:val="20"/>
      </w:rPr>
      <w:fldChar w:fldCharType="separate"/>
    </w:r>
    <w:r w:rsidR="00C04BFA">
      <w:rPr>
        <w:rStyle w:val="PageNumber"/>
        <w:rFonts w:asciiTheme="minorHAnsi" w:hAnsiTheme="minorHAnsi"/>
        <w:noProof/>
        <w:sz w:val="20"/>
      </w:rPr>
      <w:t>1</w:t>
    </w:r>
    <w:r w:rsidR="00E30E5C" w:rsidRPr="0082792C">
      <w:rPr>
        <w:rStyle w:val="PageNumber"/>
        <w:rFonts w:asciiTheme="minorHAnsi" w:hAnsiTheme="minorHAnsi"/>
        <w:sz w:val="20"/>
      </w:rPr>
      <w:fldChar w:fldCharType="end"/>
    </w:r>
    <w:r w:rsidRPr="0082792C">
      <w:rPr>
        <w:rStyle w:val="PageNumber"/>
        <w:rFonts w:asciiTheme="minorHAnsi" w:hAnsiTheme="minorHAnsi"/>
        <w:sz w:val="20"/>
      </w:rPr>
      <w:t xml:space="preserve"> of </w:t>
    </w:r>
    <w:r w:rsidR="00E30E5C" w:rsidRPr="0082792C">
      <w:rPr>
        <w:rStyle w:val="PageNumber"/>
        <w:rFonts w:asciiTheme="minorHAnsi" w:hAnsiTheme="minorHAnsi"/>
        <w:sz w:val="20"/>
      </w:rPr>
      <w:fldChar w:fldCharType="begin"/>
    </w:r>
    <w:r w:rsidRPr="0082792C">
      <w:rPr>
        <w:rStyle w:val="PageNumber"/>
        <w:rFonts w:asciiTheme="minorHAnsi" w:hAnsiTheme="minorHAnsi"/>
        <w:sz w:val="20"/>
      </w:rPr>
      <w:instrText xml:space="preserve"> NUMPAGES </w:instrText>
    </w:r>
    <w:r w:rsidR="00E30E5C" w:rsidRPr="0082792C">
      <w:rPr>
        <w:rStyle w:val="PageNumber"/>
        <w:rFonts w:asciiTheme="minorHAnsi" w:hAnsiTheme="minorHAnsi"/>
        <w:sz w:val="20"/>
      </w:rPr>
      <w:fldChar w:fldCharType="separate"/>
    </w:r>
    <w:r w:rsidR="00C04BFA">
      <w:rPr>
        <w:rStyle w:val="PageNumber"/>
        <w:rFonts w:asciiTheme="minorHAnsi" w:hAnsiTheme="minorHAnsi"/>
        <w:noProof/>
        <w:sz w:val="20"/>
      </w:rPr>
      <w:t>4</w:t>
    </w:r>
    <w:r w:rsidR="00E30E5C" w:rsidRPr="0082792C">
      <w:rPr>
        <w:rStyle w:val="PageNumber"/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97" w:rsidRDefault="0048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44" w:rsidRDefault="007C3F44">
      <w:r>
        <w:separator/>
      </w:r>
    </w:p>
  </w:footnote>
  <w:footnote w:type="continuationSeparator" w:id="0">
    <w:p w:rsidR="007C3F44" w:rsidRDefault="007C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97" w:rsidRDefault="00484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4" w:rsidRDefault="00422264">
    <w:pPr>
      <w:pStyle w:val="Header"/>
      <w:jc w:val="right"/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77DEA1FC" wp14:editId="32F93476">
          <wp:extent cx="114300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2DB" w:rsidRDefault="00484197">
    <w:pPr>
      <w:pStyle w:val="Header"/>
      <w:jc w:val="right"/>
      <w:rPr>
        <w:bCs/>
        <w:sz w:val="20"/>
        <w:szCs w:val="20"/>
      </w:rPr>
    </w:pPr>
    <w:r>
      <w:rPr>
        <w:rFonts w:cs="Arial"/>
        <w:b/>
        <w:bCs/>
        <w:sz w:val="24"/>
      </w:rPr>
      <w:t>SD</w:t>
    </w:r>
    <w:r w:rsidR="00CA261C" w:rsidRPr="00422264">
      <w:rPr>
        <w:rFonts w:cs="Arial"/>
        <w:b/>
        <w:bCs/>
        <w:sz w:val="24"/>
      </w:rPr>
      <w:t>S</w:t>
    </w:r>
    <w:r>
      <w:rPr>
        <w:rFonts w:cs="Arial"/>
        <w:b/>
        <w:bCs/>
        <w:sz w:val="24"/>
      </w:rPr>
      <w:t>:</w:t>
    </w:r>
    <w:r w:rsidR="00422264">
      <w:rPr>
        <w:rFonts w:cs="Arial"/>
        <w:b/>
        <w:bCs/>
        <w:sz w:val="24"/>
      </w:rPr>
      <w:t>0</w:t>
    </w:r>
    <w:r w:rsidR="00B84178">
      <w:rPr>
        <w:rFonts w:cs="Arial"/>
        <w:b/>
        <w:bCs/>
        <w:sz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97" w:rsidRDefault="00484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487"/>
    <w:multiLevelType w:val="hybridMultilevel"/>
    <w:tmpl w:val="E7B47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807C2"/>
    <w:multiLevelType w:val="hybridMultilevel"/>
    <w:tmpl w:val="F5D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927"/>
    <w:multiLevelType w:val="hybridMultilevel"/>
    <w:tmpl w:val="8632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985"/>
    <w:multiLevelType w:val="hybridMultilevel"/>
    <w:tmpl w:val="446AF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0251C"/>
    <w:multiLevelType w:val="hybridMultilevel"/>
    <w:tmpl w:val="63F8A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B6145"/>
    <w:multiLevelType w:val="hybridMultilevel"/>
    <w:tmpl w:val="A43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83443"/>
    <w:multiLevelType w:val="multilevel"/>
    <w:tmpl w:val="BFE41228"/>
    <w:lvl w:ilvl="0">
      <w:start w:val="1"/>
      <w:numFmt w:val="decimal"/>
      <w:pStyle w:val="01-Bullet4-BB"/>
      <w:lvlText w:val="%1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>
      <w:start w:val="1"/>
      <w:numFmt w:val="decimal"/>
      <w:pStyle w:val="01-NormInd5-BB"/>
      <w:lvlText w:val="%1.%2"/>
      <w:lvlJc w:val="left"/>
      <w:pPr>
        <w:tabs>
          <w:tab w:val="num" w:pos="2040"/>
        </w:tabs>
        <w:ind w:left="2040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01-Bullet5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01-Level1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2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1C324A3"/>
    <w:multiLevelType w:val="hybridMultilevel"/>
    <w:tmpl w:val="6348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57CDC"/>
    <w:multiLevelType w:val="hybridMultilevel"/>
    <w:tmpl w:val="D3C24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F40EF"/>
    <w:multiLevelType w:val="hybridMultilevel"/>
    <w:tmpl w:val="A68E1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CA0CD8"/>
    <w:multiLevelType w:val="hybridMultilevel"/>
    <w:tmpl w:val="B858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D5DED"/>
    <w:multiLevelType w:val="hybridMultilevel"/>
    <w:tmpl w:val="4518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C318D"/>
    <w:multiLevelType w:val="hybridMultilevel"/>
    <w:tmpl w:val="6C0A5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511A8"/>
    <w:multiLevelType w:val="hybridMultilevel"/>
    <w:tmpl w:val="158AB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CD6629"/>
    <w:multiLevelType w:val="hybridMultilevel"/>
    <w:tmpl w:val="13D8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75406"/>
    <w:multiLevelType w:val="hybridMultilevel"/>
    <w:tmpl w:val="6206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92425"/>
    <w:multiLevelType w:val="hybridMultilevel"/>
    <w:tmpl w:val="78E69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E22980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842002"/>
    <w:multiLevelType w:val="hybridMultilevel"/>
    <w:tmpl w:val="462A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EB7D05"/>
    <w:multiLevelType w:val="hybridMultilevel"/>
    <w:tmpl w:val="182C9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3C62DA2"/>
    <w:multiLevelType w:val="hybridMultilevel"/>
    <w:tmpl w:val="006A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82387A"/>
    <w:multiLevelType w:val="hybridMultilevel"/>
    <w:tmpl w:val="4266C7AA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>
    <w:nsid w:val="26774ED8"/>
    <w:multiLevelType w:val="hybridMultilevel"/>
    <w:tmpl w:val="D4FEB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D60B85"/>
    <w:multiLevelType w:val="hybridMultilevel"/>
    <w:tmpl w:val="31C8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54374"/>
    <w:multiLevelType w:val="multilevel"/>
    <w:tmpl w:val="E00242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8226888"/>
    <w:multiLevelType w:val="hybridMultilevel"/>
    <w:tmpl w:val="DF84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4F733E"/>
    <w:multiLevelType w:val="hybridMultilevel"/>
    <w:tmpl w:val="B4862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BA52B4"/>
    <w:multiLevelType w:val="multilevel"/>
    <w:tmpl w:val="000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50556C"/>
    <w:multiLevelType w:val="hybridMultilevel"/>
    <w:tmpl w:val="81EE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2298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CD1AF3"/>
    <w:multiLevelType w:val="multilevel"/>
    <w:tmpl w:val="24E616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A028AE"/>
    <w:multiLevelType w:val="hybridMultilevel"/>
    <w:tmpl w:val="8AFA3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39295C"/>
    <w:multiLevelType w:val="hybridMultilevel"/>
    <w:tmpl w:val="D21E7C32"/>
    <w:lvl w:ilvl="0" w:tplc="73E2298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>
    <w:nsid w:val="3A522622"/>
    <w:multiLevelType w:val="hybridMultilevel"/>
    <w:tmpl w:val="28605B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EDB15C4"/>
    <w:multiLevelType w:val="hybridMultilevel"/>
    <w:tmpl w:val="540CAC1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0927585"/>
    <w:multiLevelType w:val="hybridMultilevel"/>
    <w:tmpl w:val="358ED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DC6C1D"/>
    <w:multiLevelType w:val="hybridMultilevel"/>
    <w:tmpl w:val="C5F25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8670E3"/>
    <w:multiLevelType w:val="hybridMultilevel"/>
    <w:tmpl w:val="15CC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D3C8E"/>
    <w:multiLevelType w:val="hybridMultilevel"/>
    <w:tmpl w:val="BEBCA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3986976"/>
    <w:multiLevelType w:val="hybridMultilevel"/>
    <w:tmpl w:val="447CBE64"/>
    <w:lvl w:ilvl="0" w:tplc="20B04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B93A26"/>
    <w:multiLevelType w:val="multilevel"/>
    <w:tmpl w:val="D3C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CB66BA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0">
    <w:nsid w:val="4958692E"/>
    <w:multiLevelType w:val="hybridMultilevel"/>
    <w:tmpl w:val="B4E6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234964"/>
    <w:multiLevelType w:val="hybridMultilevel"/>
    <w:tmpl w:val="95043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11319D6"/>
    <w:multiLevelType w:val="hybridMultilevel"/>
    <w:tmpl w:val="24E616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F92FE3"/>
    <w:multiLevelType w:val="hybridMultilevel"/>
    <w:tmpl w:val="B190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743DD6"/>
    <w:multiLevelType w:val="hybridMultilevel"/>
    <w:tmpl w:val="4F6AE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C7530B"/>
    <w:multiLevelType w:val="hybridMultilevel"/>
    <w:tmpl w:val="082CE11C"/>
    <w:lvl w:ilvl="0" w:tplc="73E229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8B6B8F"/>
    <w:multiLevelType w:val="hybridMultilevel"/>
    <w:tmpl w:val="244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D41E59"/>
    <w:multiLevelType w:val="hybridMultilevel"/>
    <w:tmpl w:val="FE3CC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7C4C07"/>
    <w:multiLevelType w:val="hybridMultilevel"/>
    <w:tmpl w:val="C72EE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9A249A"/>
    <w:multiLevelType w:val="hybridMultilevel"/>
    <w:tmpl w:val="DA94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6E5D3B"/>
    <w:multiLevelType w:val="hybridMultilevel"/>
    <w:tmpl w:val="D4B6D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856F91"/>
    <w:multiLevelType w:val="hybridMultilevel"/>
    <w:tmpl w:val="0F6630FE"/>
    <w:lvl w:ilvl="0" w:tplc="73E2298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2">
    <w:nsid w:val="6BEB5C00"/>
    <w:multiLevelType w:val="hybridMultilevel"/>
    <w:tmpl w:val="6DDE7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DB80C9A"/>
    <w:multiLevelType w:val="hybridMultilevel"/>
    <w:tmpl w:val="503A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D60E83"/>
    <w:multiLevelType w:val="hybridMultilevel"/>
    <w:tmpl w:val="57002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2EA51A8"/>
    <w:multiLevelType w:val="hybridMultilevel"/>
    <w:tmpl w:val="825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53E0CD8"/>
    <w:multiLevelType w:val="hybridMultilevel"/>
    <w:tmpl w:val="F77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6E634DB"/>
    <w:multiLevelType w:val="hybridMultilevel"/>
    <w:tmpl w:val="D44E670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C117A1A"/>
    <w:multiLevelType w:val="hybridMultilevel"/>
    <w:tmpl w:val="11684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3"/>
  </w:num>
  <w:num w:numId="5">
    <w:abstractNumId w:val="16"/>
  </w:num>
  <w:num w:numId="6">
    <w:abstractNumId w:val="50"/>
  </w:num>
  <w:num w:numId="7">
    <w:abstractNumId w:val="27"/>
  </w:num>
  <w:num w:numId="8">
    <w:abstractNumId w:val="25"/>
  </w:num>
  <w:num w:numId="9">
    <w:abstractNumId w:val="55"/>
  </w:num>
  <w:num w:numId="10">
    <w:abstractNumId w:val="17"/>
  </w:num>
  <w:num w:numId="11">
    <w:abstractNumId w:val="48"/>
  </w:num>
  <w:num w:numId="12">
    <w:abstractNumId w:val="42"/>
  </w:num>
  <w:num w:numId="13">
    <w:abstractNumId w:val="28"/>
  </w:num>
  <w:num w:numId="14">
    <w:abstractNumId w:val="0"/>
  </w:num>
  <w:num w:numId="15">
    <w:abstractNumId w:val="58"/>
  </w:num>
  <w:num w:numId="16">
    <w:abstractNumId w:val="29"/>
  </w:num>
  <w:num w:numId="17">
    <w:abstractNumId w:val="19"/>
  </w:num>
  <w:num w:numId="18">
    <w:abstractNumId w:val="13"/>
  </w:num>
  <w:num w:numId="19">
    <w:abstractNumId w:val="30"/>
  </w:num>
  <w:num w:numId="20">
    <w:abstractNumId w:val="40"/>
  </w:num>
  <w:num w:numId="21">
    <w:abstractNumId w:val="51"/>
  </w:num>
  <w:num w:numId="22">
    <w:abstractNumId w:val="20"/>
  </w:num>
  <w:num w:numId="23">
    <w:abstractNumId w:val="33"/>
  </w:num>
  <w:num w:numId="24">
    <w:abstractNumId w:val="39"/>
  </w:num>
  <w:num w:numId="25">
    <w:abstractNumId w:val="45"/>
  </w:num>
  <w:num w:numId="26">
    <w:abstractNumId w:val="54"/>
  </w:num>
  <w:num w:numId="27">
    <w:abstractNumId w:val="32"/>
  </w:num>
  <w:num w:numId="28">
    <w:abstractNumId w:val="37"/>
  </w:num>
  <w:num w:numId="29">
    <w:abstractNumId w:val="26"/>
  </w:num>
  <w:num w:numId="30">
    <w:abstractNumId w:val="8"/>
  </w:num>
  <w:num w:numId="31">
    <w:abstractNumId w:val="38"/>
  </w:num>
  <w:num w:numId="32">
    <w:abstractNumId w:val="57"/>
  </w:num>
  <w:num w:numId="33">
    <w:abstractNumId w:val="18"/>
  </w:num>
  <w:num w:numId="34">
    <w:abstractNumId w:val="12"/>
  </w:num>
  <w:num w:numId="35">
    <w:abstractNumId w:val="52"/>
  </w:num>
  <w:num w:numId="36">
    <w:abstractNumId w:val="9"/>
  </w:num>
  <w:num w:numId="37">
    <w:abstractNumId w:val="31"/>
  </w:num>
  <w:num w:numId="38">
    <w:abstractNumId w:val="41"/>
  </w:num>
  <w:num w:numId="39">
    <w:abstractNumId w:val="44"/>
  </w:num>
  <w:num w:numId="40">
    <w:abstractNumId w:val="43"/>
  </w:num>
  <w:num w:numId="41">
    <w:abstractNumId w:val="34"/>
  </w:num>
  <w:num w:numId="42">
    <w:abstractNumId w:val="36"/>
  </w:num>
  <w:num w:numId="43">
    <w:abstractNumId w:val="7"/>
  </w:num>
  <w:num w:numId="44">
    <w:abstractNumId w:val="56"/>
  </w:num>
  <w:num w:numId="45">
    <w:abstractNumId w:val="14"/>
  </w:num>
  <w:num w:numId="46">
    <w:abstractNumId w:val="22"/>
  </w:num>
  <w:num w:numId="47">
    <w:abstractNumId w:val="10"/>
  </w:num>
  <w:num w:numId="48">
    <w:abstractNumId w:val="49"/>
  </w:num>
  <w:num w:numId="49">
    <w:abstractNumId w:val="46"/>
  </w:num>
  <w:num w:numId="50">
    <w:abstractNumId w:val="24"/>
  </w:num>
  <w:num w:numId="51">
    <w:abstractNumId w:val="15"/>
  </w:num>
  <w:num w:numId="52">
    <w:abstractNumId w:val="5"/>
  </w:num>
  <w:num w:numId="53">
    <w:abstractNumId w:val="47"/>
  </w:num>
  <w:num w:numId="54">
    <w:abstractNumId w:val="2"/>
  </w:num>
  <w:num w:numId="55">
    <w:abstractNumId w:val="1"/>
  </w:num>
  <w:num w:numId="56">
    <w:abstractNumId w:val="53"/>
  </w:num>
  <w:num w:numId="57">
    <w:abstractNumId w:val="11"/>
  </w:num>
  <w:num w:numId="58">
    <w:abstractNumId w:val="35"/>
  </w:num>
  <w:num w:numId="59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E"/>
    <w:rsid w:val="000072F5"/>
    <w:rsid w:val="000166A9"/>
    <w:rsid w:val="000202CF"/>
    <w:rsid w:val="00025D19"/>
    <w:rsid w:val="00026476"/>
    <w:rsid w:val="0002680A"/>
    <w:rsid w:val="0004352C"/>
    <w:rsid w:val="00043CCD"/>
    <w:rsid w:val="000557F6"/>
    <w:rsid w:val="00060915"/>
    <w:rsid w:val="0006711E"/>
    <w:rsid w:val="0007378E"/>
    <w:rsid w:val="0008647D"/>
    <w:rsid w:val="000B4773"/>
    <w:rsid w:val="000B760F"/>
    <w:rsid w:val="000D012A"/>
    <w:rsid w:val="000D0799"/>
    <w:rsid w:val="000D5200"/>
    <w:rsid w:val="000E47AD"/>
    <w:rsid w:val="000F2ABC"/>
    <w:rsid w:val="001017AE"/>
    <w:rsid w:val="0011299B"/>
    <w:rsid w:val="00114CA1"/>
    <w:rsid w:val="0011554A"/>
    <w:rsid w:val="00134790"/>
    <w:rsid w:val="00136D43"/>
    <w:rsid w:val="00145860"/>
    <w:rsid w:val="00146046"/>
    <w:rsid w:val="0016177E"/>
    <w:rsid w:val="00180479"/>
    <w:rsid w:val="0019607A"/>
    <w:rsid w:val="001C314D"/>
    <w:rsid w:val="001D7B70"/>
    <w:rsid w:val="001E5B76"/>
    <w:rsid w:val="001F1C43"/>
    <w:rsid w:val="001F5138"/>
    <w:rsid w:val="002172BF"/>
    <w:rsid w:val="00223DEB"/>
    <w:rsid w:val="002377EA"/>
    <w:rsid w:val="00247C41"/>
    <w:rsid w:val="0025756A"/>
    <w:rsid w:val="002624E1"/>
    <w:rsid w:val="002659B3"/>
    <w:rsid w:val="002811A5"/>
    <w:rsid w:val="002B44BC"/>
    <w:rsid w:val="002C56B1"/>
    <w:rsid w:val="002C7BE5"/>
    <w:rsid w:val="002D6B9A"/>
    <w:rsid w:val="002F10B5"/>
    <w:rsid w:val="00306BE3"/>
    <w:rsid w:val="00314629"/>
    <w:rsid w:val="00315147"/>
    <w:rsid w:val="00323F92"/>
    <w:rsid w:val="00335170"/>
    <w:rsid w:val="00340EB8"/>
    <w:rsid w:val="0035189E"/>
    <w:rsid w:val="003542EE"/>
    <w:rsid w:val="003629C9"/>
    <w:rsid w:val="0036340C"/>
    <w:rsid w:val="00371BA9"/>
    <w:rsid w:val="003950E6"/>
    <w:rsid w:val="00395D51"/>
    <w:rsid w:val="003B55E0"/>
    <w:rsid w:val="003C6C53"/>
    <w:rsid w:val="003D0703"/>
    <w:rsid w:val="003D6E02"/>
    <w:rsid w:val="003E7473"/>
    <w:rsid w:val="00406C04"/>
    <w:rsid w:val="00411415"/>
    <w:rsid w:val="00422264"/>
    <w:rsid w:val="00426888"/>
    <w:rsid w:val="004455C9"/>
    <w:rsid w:val="00462F68"/>
    <w:rsid w:val="004674B3"/>
    <w:rsid w:val="00474022"/>
    <w:rsid w:val="00483164"/>
    <w:rsid w:val="00484197"/>
    <w:rsid w:val="004851AB"/>
    <w:rsid w:val="00496077"/>
    <w:rsid w:val="00497EAD"/>
    <w:rsid w:val="004A042D"/>
    <w:rsid w:val="004A14B5"/>
    <w:rsid w:val="004D6DC5"/>
    <w:rsid w:val="00500262"/>
    <w:rsid w:val="005012A6"/>
    <w:rsid w:val="00503852"/>
    <w:rsid w:val="00514C3B"/>
    <w:rsid w:val="00514F11"/>
    <w:rsid w:val="005258B1"/>
    <w:rsid w:val="0052601D"/>
    <w:rsid w:val="005407B8"/>
    <w:rsid w:val="00543887"/>
    <w:rsid w:val="00556A46"/>
    <w:rsid w:val="00565927"/>
    <w:rsid w:val="00572443"/>
    <w:rsid w:val="00574846"/>
    <w:rsid w:val="005772A6"/>
    <w:rsid w:val="005776F5"/>
    <w:rsid w:val="00581DD5"/>
    <w:rsid w:val="005838C6"/>
    <w:rsid w:val="00586DC7"/>
    <w:rsid w:val="005B7AEE"/>
    <w:rsid w:val="005C2AB4"/>
    <w:rsid w:val="005D7C7C"/>
    <w:rsid w:val="005E6D0B"/>
    <w:rsid w:val="005F08BC"/>
    <w:rsid w:val="00611AD9"/>
    <w:rsid w:val="0062139F"/>
    <w:rsid w:val="0063076F"/>
    <w:rsid w:val="00652D0B"/>
    <w:rsid w:val="0066158F"/>
    <w:rsid w:val="0066478B"/>
    <w:rsid w:val="00667171"/>
    <w:rsid w:val="006773AA"/>
    <w:rsid w:val="00683495"/>
    <w:rsid w:val="00683CDB"/>
    <w:rsid w:val="0068590D"/>
    <w:rsid w:val="006B29CC"/>
    <w:rsid w:val="006C541E"/>
    <w:rsid w:val="006C54DC"/>
    <w:rsid w:val="006C5C10"/>
    <w:rsid w:val="006C7C26"/>
    <w:rsid w:val="006D3466"/>
    <w:rsid w:val="006E4B2F"/>
    <w:rsid w:val="006E7942"/>
    <w:rsid w:val="00740255"/>
    <w:rsid w:val="00740D22"/>
    <w:rsid w:val="00755860"/>
    <w:rsid w:val="00770655"/>
    <w:rsid w:val="00770688"/>
    <w:rsid w:val="007751C5"/>
    <w:rsid w:val="00782510"/>
    <w:rsid w:val="00786E11"/>
    <w:rsid w:val="00787948"/>
    <w:rsid w:val="007963DA"/>
    <w:rsid w:val="00796756"/>
    <w:rsid w:val="007A58C3"/>
    <w:rsid w:val="007B0FEA"/>
    <w:rsid w:val="007B356B"/>
    <w:rsid w:val="007B6D2C"/>
    <w:rsid w:val="007C3F44"/>
    <w:rsid w:val="007F0F5D"/>
    <w:rsid w:val="007F5667"/>
    <w:rsid w:val="008014A1"/>
    <w:rsid w:val="00811CFA"/>
    <w:rsid w:val="00815503"/>
    <w:rsid w:val="00824E8E"/>
    <w:rsid w:val="00825870"/>
    <w:rsid w:val="00826438"/>
    <w:rsid w:val="0082792C"/>
    <w:rsid w:val="0084284A"/>
    <w:rsid w:val="00842A7A"/>
    <w:rsid w:val="00843996"/>
    <w:rsid w:val="00850DB9"/>
    <w:rsid w:val="00852500"/>
    <w:rsid w:val="0085611D"/>
    <w:rsid w:val="00867229"/>
    <w:rsid w:val="00885538"/>
    <w:rsid w:val="008A5BF3"/>
    <w:rsid w:val="008C2878"/>
    <w:rsid w:val="008D0667"/>
    <w:rsid w:val="008E681C"/>
    <w:rsid w:val="00906662"/>
    <w:rsid w:val="0091574D"/>
    <w:rsid w:val="009222DB"/>
    <w:rsid w:val="00935CD2"/>
    <w:rsid w:val="009379B1"/>
    <w:rsid w:val="00943D29"/>
    <w:rsid w:val="00951AD7"/>
    <w:rsid w:val="00977E1C"/>
    <w:rsid w:val="009955E2"/>
    <w:rsid w:val="009B6026"/>
    <w:rsid w:val="009C06A1"/>
    <w:rsid w:val="009C2144"/>
    <w:rsid w:val="009C5517"/>
    <w:rsid w:val="009E6139"/>
    <w:rsid w:val="009F5BEE"/>
    <w:rsid w:val="00A207C7"/>
    <w:rsid w:val="00A23FDC"/>
    <w:rsid w:val="00A31511"/>
    <w:rsid w:val="00A40088"/>
    <w:rsid w:val="00A41863"/>
    <w:rsid w:val="00A508F7"/>
    <w:rsid w:val="00A55423"/>
    <w:rsid w:val="00A60E8C"/>
    <w:rsid w:val="00A6153E"/>
    <w:rsid w:val="00A669AD"/>
    <w:rsid w:val="00A711BB"/>
    <w:rsid w:val="00A75B68"/>
    <w:rsid w:val="00A80479"/>
    <w:rsid w:val="00A930D3"/>
    <w:rsid w:val="00AA5D37"/>
    <w:rsid w:val="00AD0182"/>
    <w:rsid w:val="00AD13FE"/>
    <w:rsid w:val="00AE39EC"/>
    <w:rsid w:val="00AF0041"/>
    <w:rsid w:val="00AF6946"/>
    <w:rsid w:val="00B06BB3"/>
    <w:rsid w:val="00B15546"/>
    <w:rsid w:val="00B244A1"/>
    <w:rsid w:val="00B32985"/>
    <w:rsid w:val="00B3522B"/>
    <w:rsid w:val="00B41F39"/>
    <w:rsid w:val="00B44FDC"/>
    <w:rsid w:val="00B524EC"/>
    <w:rsid w:val="00B52AFE"/>
    <w:rsid w:val="00B6201E"/>
    <w:rsid w:val="00B6634D"/>
    <w:rsid w:val="00B84178"/>
    <w:rsid w:val="00B91D57"/>
    <w:rsid w:val="00B97D50"/>
    <w:rsid w:val="00BA5142"/>
    <w:rsid w:val="00BD4F9B"/>
    <w:rsid w:val="00BD7200"/>
    <w:rsid w:val="00BE52A7"/>
    <w:rsid w:val="00BF102E"/>
    <w:rsid w:val="00C04BFA"/>
    <w:rsid w:val="00C350FB"/>
    <w:rsid w:val="00C509FA"/>
    <w:rsid w:val="00C50D8D"/>
    <w:rsid w:val="00C65B35"/>
    <w:rsid w:val="00C70004"/>
    <w:rsid w:val="00C95C2B"/>
    <w:rsid w:val="00CA261C"/>
    <w:rsid w:val="00CA54D5"/>
    <w:rsid w:val="00CB4D19"/>
    <w:rsid w:val="00CC3037"/>
    <w:rsid w:val="00CC47CA"/>
    <w:rsid w:val="00CC5C5D"/>
    <w:rsid w:val="00CF2E3B"/>
    <w:rsid w:val="00CF3EE4"/>
    <w:rsid w:val="00CF622B"/>
    <w:rsid w:val="00D03735"/>
    <w:rsid w:val="00D05676"/>
    <w:rsid w:val="00D24A57"/>
    <w:rsid w:val="00D26C79"/>
    <w:rsid w:val="00D3427D"/>
    <w:rsid w:val="00D34A08"/>
    <w:rsid w:val="00D45647"/>
    <w:rsid w:val="00D459CC"/>
    <w:rsid w:val="00D525DE"/>
    <w:rsid w:val="00D55F0A"/>
    <w:rsid w:val="00D9033B"/>
    <w:rsid w:val="00D94943"/>
    <w:rsid w:val="00DA34CE"/>
    <w:rsid w:val="00DA46FA"/>
    <w:rsid w:val="00DC7FEA"/>
    <w:rsid w:val="00DD0A92"/>
    <w:rsid w:val="00DD22C1"/>
    <w:rsid w:val="00DD59C7"/>
    <w:rsid w:val="00E06F10"/>
    <w:rsid w:val="00E159C9"/>
    <w:rsid w:val="00E20E72"/>
    <w:rsid w:val="00E25258"/>
    <w:rsid w:val="00E30E5C"/>
    <w:rsid w:val="00E31BF2"/>
    <w:rsid w:val="00E32419"/>
    <w:rsid w:val="00E40975"/>
    <w:rsid w:val="00E51109"/>
    <w:rsid w:val="00E530CD"/>
    <w:rsid w:val="00E61FEF"/>
    <w:rsid w:val="00E64AAF"/>
    <w:rsid w:val="00E7084C"/>
    <w:rsid w:val="00E768DF"/>
    <w:rsid w:val="00E76B5C"/>
    <w:rsid w:val="00E85635"/>
    <w:rsid w:val="00E93A05"/>
    <w:rsid w:val="00EA0735"/>
    <w:rsid w:val="00EA4EE4"/>
    <w:rsid w:val="00EA62A6"/>
    <w:rsid w:val="00EB66A2"/>
    <w:rsid w:val="00EC130D"/>
    <w:rsid w:val="00ED2B62"/>
    <w:rsid w:val="00EE7F6D"/>
    <w:rsid w:val="00F256DC"/>
    <w:rsid w:val="00F419A2"/>
    <w:rsid w:val="00F55CE9"/>
    <w:rsid w:val="00F57537"/>
    <w:rsid w:val="00F64DDF"/>
    <w:rsid w:val="00F741EF"/>
    <w:rsid w:val="00F74693"/>
    <w:rsid w:val="00F91FF3"/>
    <w:rsid w:val="00F922EC"/>
    <w:rsid w:val="00F93C17"/>
    <w:rsid w:val="00F96BF7"/>
    <w:rsid w:val="00FA3B5A"/>
    <w:rsid w:val="00FA59D8"/>
    <w:rsid w:val="00FA75C4"/>
    <w:rsid w:val="00FB0784"/>
    <w:rsid w:val="00FB36F8"/>
    <w:rsid w:val="00FB62FB"/>
    <w:rsid w:val="00FC2C62"/>
    <w:rsid w:val="00FC7079"/>
    <w:rsid w:val="00FD0CBA"/>
    <w:rsid w:val="00FD45E3"/>
    <w:rsid w:val="00FD6DC0"/>
    <w:rsid w:val="00FE572B"/>
    <w:rsid w:val="00FE6F31"/>
    <w:rsid w:val="00FF2B1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4C31542-67D8-422C-996A-6E6AA1A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B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E31B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1B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01-Bullet4-BB">
    <w:name w:val="01-Bullet4-BB"/>
    <w:basedOn w:val="Normal"/>
    <w:pPr>
      <w:numPr>
        <w:numId w:val="1"/>
      </w:numPr>
      <w:tabs>
        <w:tab w:val="num" w:pos="3240"/>
      </w:tabs>
      <w:spacing w:line="360" w:lineRule="auto"/>
      <w:ind w:left="3238" w:hanging="358"/>
      <w:jc w:val="both"/>
    </w:pPr>
    <w:rPr>
      <w:rFonts w:cs="Arial"/>
      <w:szCs w:val="22"/>
    </w:rPr>
  </w:style>
  <w:style w:type="paragraph" w:customStyle="1" w:styleId="01-NormInd5-BB">
    <w:name w:val="01-NormInd5-BB"/>
    <w:basedOn w:val="Normal"/>
    <w:pPr>
      <w:numPr>
        <w:ilvl w:val="1"/>
        <w:numId w:val="1"/>
      </w:numPr>
      <w:spacing w:line="360" w:lineRule="auto"/>
      <w:ind w:left="2880"/>
      <w:jc w:val="both"/>
    </w:pPr>
    <w:rPr>
      <w:rFonts w:cs="Arial"/>
      <w:szCs w:val="22"/>
    </w:rPr>
  </w:style>
  <w:style w:type="paragraph" w:customStyle="1" w:styleId="01-Bullet5-BB">
    <w:name w:val="01-Bullet5-BB"/>
    <w:basedOn w:val="01-NormInd5-BB"/>
    <w:pPr>
      <w:numPr>
        <w:ilvl w:val="2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Normal"/>
    <w:next w:val="Normal"/>
    <w:pPr>
      <w:numPr>
        <w:ilvl w:val="3"/>
        <w:numId w:val="1"/>
      </w:numPr>
      <w:tabs>
        <w:tab w:val="num" w:pos="840"/>
      </w:tabs>
      <w:spacing w:line="360" w:lineRule="auto"/>
      <w:ind w:left="840" w:hanging="720"/>
      <w:jc w:val="both"/>
    </w:pPr>
    <w:rPr>
      <w:rFonts w:cs="Arial"/>
      <w:b/>
      <w:bCs/>
      <w:szCs w:val="22"/>
    </w:rPr>
  </w:style>
  <w:style w:type="paragraph" w:customStyle="1" w:styleId="01-Level2-BB">
    <w:name w:val="01-Level2-BB"/>
    <w:basedOn w:val="Normal"/>
    <w:next w:val="Normal"/>
    <w:pPr>
      <w:numPr>
        <w:ilvl w:val="4"/>
        <w:numId w:val="1"/>
      </w:numPr>
      <w:tabs>
        <w:tab w:val="num" w:pos="2040"/>
      </w:tabs>
      <w:spacing w:line="360" w:lineRule="auto"/>
      <w:ind w:left="2040" w:hanging="720"/>
      <w:jc w:val="both"/>
    </w:pPr>
    <w:rPr>
      <w:rFonts w:cs="Arial"/>
      <w:szCs w:val="22"/>
    </w:rPr>
  </w:style>
  <w:style w:type="paragraph" w:customStyle="1" w:styleId="01-NormInd1-BB">
    <w:name w:val="01-NormInd1-BB"/>
    <w:basedOn w:val="Normal"/>
    <w:pPr>
      <w:spacing w:line="360" w:lineRule="auto"/>
      <w:ind w:left="720"/>
      <w:jc w:val="both"/>
    </w:pPr>
    <w:rPr>
      <w:rFonts w:cs="Arial"/>
      <w:szCs w:val="22"/>
    </w:rPr>
  </w:style>
  <w:style w:type="paragraph" w:customStyle="1" w:styleId="01-NormInd2-BB">
    <w:name w:val="01-NormInd2-BB"/>
    <w:basedOn w:val="Normal"/>
    <w:pPr>
      <w:spacing w:line="360" w:lineRule="auto"/>
      <w:ind w:left="1440"/>
      <w:jc w:val="both"/>
    </w:pPr>
    <w:rPr>
      <w:rFonts w:cs="Arial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cs="Arial"/>
      <w:szCs w:val="22"/>
    </w:rPr>
  </w:style>
  <w:style w:type="paragraph" w:customStyle="1" w:styleId="CharCharCharCharCharCharCharCharChar1CharCharCharChar">
    <w:name w:val="Char Char Char Char Char Char Char Char Char1 Char Char Char Char"/>
    <w:basedOn w:val="Normal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Arial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chievement">
    <w:name w:val="Achievement"/>
    <w:basedOn w:val="Normal"/>
    <w:pPr>
      <w:numPr>
        <w:numId w:val="24"/>
      </w:numPr>
    </w:pPr>
    <w:rPr>
      <w:rFonts w:ascii="Garamond" w:hAnsi="Garamond"/>
      <w:sz w:val="24"/>
      <w:szCs w:val="20"/>
    </w:rPr>
  </w:style>
  <w:style w:type="table" w:styleId="TableGrid">
    <w:name w:val="Table Grid"/>
    <w:basedOn w:val="TableNormal"/>
    <w:rsid w:val="00C9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E31BF2"/>
    <w:rPr>
      <w:sz w:val="20"/>
      <w:szCs w:val="20"/>
      <w:lang w:val="x-none"/>
    </w:rPr>
  </w:style>
  <w:style w:type="character" w:styleId="CommentReference">
    <w:name w:val="annotation reference"/>
    <w:rsid w:val="006B29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B29CC"/>
    <w:rPr>
      <w:b/>
      <w:bCs/>
    </w:rPr>
  </w:style>
  <w:style w:type="character" w:customStyle="1" w:styleId="CommentTextChar">
    <w:name w:val="Comment Text Char"/>
    <w:link w:val="CommentText"/>
    <w:semiHidden/>
    <w:rsid w:val="006B29CC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B29CC"/>
    <w:rPr>
      <w:rFonts w:ascii="Arial" w:hAnsi="Arial" w:cs="Arial"/>
      <w:lang w:eastAsia="en-US"/>
    </w:rPr>
  </w:style>
  <w:style w:type="character" w:styleId="Emphasis">
    <w:name w:val="Emphasis"/>
    <w:basedOn w:val="DefaultParagraphFont"/>
    <w:qFormat/>
    <w:rsid w:val="00F55CE9"/>
    <w:rPr>
      <w:i/>
      <w:iCs/>
    </w:rPr>
  </w:style>
  <w:style w:type="paragraph" w:customStyle="1" w:styleId="Default">
    <w:name w:val="Default"/>
    <w:rsid w:val="00F256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3915-BDDC-429B-A677-BC8DCE8E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SPECIFICATION TEMPLATE – GUIDANCE NOTES FOR COMPLETION</vt:lpstr>
    </vt:vector>
  </TitlesOfParts>
  <Company>NHIS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SPECIFICATION TEMPLATE – GUIDANCE NOTES FOR COMPLETION</dc:title>
  <dc:creator>IT</dc:creator>
  <cp:lastModifiedBy>Alistair Lipp</cp:lastModifiedBy>
  <cp:revision>2</cp:revision>
  <cp:lastPrinted>2014-08-20T07:01:00Z</cp:lastPrinted>
  <dcterms:created xsi:type="dcterms:W3CDTF">2015-05-17T13:29:00Z</dcterms:created>
  <dcterms:modified xsi:type="dcterms:W3CDTF">2015-05-17T13:29:00Z</dcterms:modified>
</cp:coreProperties>
</file>